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E5F5C54" w14:textId="77777777" w:rsidTr="00DE264A">
        <w:trPr>
          <w:trHeight w:val="852"/>
          <w:jc w:val="center"/>
        </w:trPr>
        <w:tc>
          <w:tcPr>
            <w:tcW w:w="6946" w:type="dxa"/>
            <w:vMerge w:val="restart"/>
            <w:tcBorders>
              <w:right w:val="single" w:sz="4" w:space="0" w:color="auto"/>
            </w:tcBorders>
          </w:tcPr>
          <w:p w14:paraId="04201137"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C1454C2" wp14:editId="43047E07">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D412A71" w14:textId="77777777"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28062B7C"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FBF063F" w14:textId="77777777" w:rsidR="000A03B2" w:rsidRPr="00B57B36" w:rsidRDefault="000A03B2" w:rsidP="00CD5FE2">
            <w:pPr>
              <w:jc w:val="right"/>
            </w:pPr>
            <w:r w:rsidRPr="00B57B36">
              <w:rPr>
                <w:noProof/>
                <w:lang w:val="it-IT" w:eastAsia="it-IT"/>
              </w:rPr>
              <w:drawing>
                <wp:inline distT="0" distB="0" distL="0" distR="0" wp14:anchorId="1E63AD6F" wp14:editId="71013B7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16E43AA" w14:textId="77777777" w:rsidTr="00DE264A">
        <w:trPr>
          <w:trHeight w:val="567"/>
          <w:jc w:val="center"/>
        </w:trPr>
        <w:tc>
          <w:tcPr>
            <w:tcW w:w="6946" w:type="dxa"/>
            <w:vMerge/>
            <w:tcBorders>
              <w:right w:val="single" w:sz="4" w:space="0" w:color="auto"/>
            </w:tcBorders>
          </w:tcPr>
          <w:p w14:paraId="1B65DA42"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D72E45A"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BAF2A63"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79F9DBB2"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015AE175" w14:textId="77777777" w:rsidTr="00DE264A">
        <w:trPr>
          <w:trHeight w:val="68"/>
          <w:jc w:val="center"/>
        </w:trPr>
        <w:tc>
          <w:tcPr>
            <w:tcW w:w="8789" w:type="dxa"/>
            <w:gridSpan w:val="2"/>
          </w:tcPr>
          <w:p w14:paraId="7E2677F1" w14:textId="77777777"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Marzocchella</w:t>
            </w:r>
          </w:p>
          <w:p w14:paraId="24D458AE" w14:textId="77777777"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687FB9B"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79CC2254" w14:textId="77777777" w:rsidR="00E978D0" w:rsidRPr="00B57B36" w:rsidRDefault="00E6017B" w:rsidP="00E978D0">
      <w:pPr>
        <w:pStyle w:val="CETTitle"/>
      </w:pPr>
      <w:r w:rsidRPr="00E6017B">
        <w:t>Granulation and Activation of an Arsenic Adsorbent Made of</w:t>
      </w:r>
      <w:r>
        <w:t xml:space="preserve"> </w:t>
      </w:r>
      <w:bookmarkStart w:id="0" w:name="_Hlk92492148"/>
      <w:r w:rsidRPr="00E6017B">
        <w:t xml:space="preserve">Iron Oxide Doped </w:t>
      </w:r>
      <w:proofErr w:type="spellStart"/>
      <w:r w:rsidRPr="00E6017B">
        <w:t>Hydrochar</w:t>
      </w:r>
      <w:bookmarkEnd w:id="0"/>
      <w:proofErr w:type="spellEnd"/>
    </w:p>
    <w:p w14:paraId="274DDEA0" w14:textId="77777777" w:rsidR="00B57E6F" w:rsidRPr="00DB405E" w:rsidRDefault="00CC4F80" w:rsidP="00111BCE">
      <w:pPr>
        <w:pStyle w:val="CETAuthors"/>
        <w:rPr>
          <w:lang w:val="pt-PT"/>
        </w:rPr>
      </w:pPr>
      <w:r w:rsidRPr="00DB405E">
        <w:rPr>
          <w:lang w:val="pt-PT"/>
        </w:rPr>
        <w:t>Paulo A.M. Mourão</w:t>
      </w:r>
      <w:bookmarkStart w:id="1" w:name="_Hlk92401879"/>
      <w:r w:rsidRPr="00DB405E">
        <w:rPr>
          <w:vertAlign w:val="superscript"/>
          <w:lang w:val="pt-PT"/>
        </w:rPr>
        <w:t>a,*</w:t>
      </w:r>
      <w:bookmarkEnd w:id="1"/>
      <w:r w:rsidRPr="00DB405E">
        <w:rPr>
          <w:lang w:val="pt-PT"/>
        </w:rPr>
        <w:t>, Fabrizio Di Caprio</w:t>
      </w:r>
      <w:r w:rsidRPr="00DB405E">
        <w:rPr>
          <w:vertAlign w:val="superscript"/>
          <w:lang w:val="pt-PT"/>
        </w:rPr>
        <w:t>b,*</w:t>
      </w:r>
      <w:r w:rsidRPr="00DB405E">
        <w:rPr>
          <w:lang w:val="pt-PT"/>
        </w:rPr>
        <w:t xml:space="preserve">, </w:t>
      </w:r>
      <w:bookmarkStart w:id="2" w:name="_Hlk92749568"/>
      <w:r w:rsidRPr="00DB405E">
        <w:rPr>
          <w:lang w:val="pt-PT"/>
        </w:rPr>
        <w:t>Isabel P.P. Cansado</w:t>
      </w:r>
      <w:bookmarkEnd w:id="2"/>
      <w:r w:rsidRPr="00DB405E">
        <w:rPr>
          <w:vertAlign w:val="superscript"/>
          <w:lang w:val="pt-PT"/>
        </w:rPr>
        <w:t>a</w:t>
      </w:r>
      <w:r w:rsidRPr="00DB405E">
        <w:rPr>
          <w:lang w:val="pt-PT"/>
        </w:rPr>
        <w:t>, José E. Castanheiro</w:t>
      </w:r>
      <w:r w:rsidRPr="00DB405E">
        <w:rPr>
          <w:vertAlign w:val="superscript"/>
          <w:lang w:val="pt-PT"/>
        </w:rPr>
        <w:t>a</w:t>
      </w:r>
      <w:r w:rsidRPr="00DB405E">
        <w:rPr>
          <w:lang w:val="pt-PT"/>
        </w:rPr>
        <w:t>, Ilario Falcone</w:t>
      </w:r>
      <w:r w:rsidRPr="00DB405E">
        <w:rPr>
          <w:vertAlign w:val="superscript"/>
          <w:lang w:val="pt-PT"/>
        </w:rPr>
        <w:t>c</w:t>
      </w:r>
      <w:r w:rsidRPr="00DB405E">
        <w:rPr>
          <w:lang w:val="pt-PT"/>
        </w:rPr>
        <w:t>, Maria Luisa Astolfi</w:t>
      </w:r>
      <w:bookmarkStart w:id="3" w:name="_Hlk92401981"/>
      <w:r w:rsidRPr="00DB405E">
        <w:rPr>
          <w:vertAlign w:val="superscript"/>
          <w:lang w:val="pt-PT"/>
        </w:rPr>
        <w:t>b</w:t>
      </w:r>
      <w:bookmarkEnd w:id="3"/>
      <w:r w:rsidRPr="00DB405E">
        <w:rPr>
          <w:lang w:val="pt-PT"/>
        </w:rPr>
        <w:t>, Pietro Altimari</w:t>
      </w:r>
      <w:r w:rsidRPr="00DB405E">
        <w:rPr>
          <w:vertAlign w:val="superscript"/>
          <w:lang w:val="pt-PT"/>
        </w:rPr>
        <w:t>b</w:t>
      </w:r>
      <w:r w:rsidRPr="00DB405E">
        <w:rPr>
          <w:lang w:val="pt-PT"/>
        </w:rPr>
        <w:t>, Francesca Pagnanelli</w:t>
      </w:r>
      <w:r w:rsidRPr="00DB405E">
        <w:rPr>
          <w:vertAlign w:val="superscript"/>
          <w:lang w:val="pt-PT"/>
        </w:rPr>
        <w:t>b</w:t>
      </w:r>
    </w:p>
    <w:p w14:paraId="716263C8" w14:textId="7CCA7A08" w:rsidR="00B57E6F" w:rsidRPr="00FF7CA6" w:rsidRDefault="00B57E6F" w:rsidP="00B57E6F">
      <w:pPr>
        <w:pStyle w:val="CETAddress"/>
        <w:rPr>
          <w:lang w:val="pt-PT"/>
        </w:rPr>
      </w:pPr>
      <w:r w:rsidRPr="00FF7CA6">
        <w:rPr>
          <w:vertAlign w:val="superscript"/>
          <w:lang w:val="pt-PT"/>
        </w:rPr>
        <w:t>a</w:t>
      </w:r>
      <w:r w:rsidR="00FF7CA6" w:rsidRPr="00FF7CA6">
        <w:rPr>
          <w:lang w:val="pt-PT"/>
        </w:rPr>
        <w:t>MED, Instituto de Investigação e Formação Avançada, Departamento de Química, Escola de Ciências e Tecnologia, Universidade de Évora, Rua Romão Ramalho 59, 7000-671 Évora</w:t>
      </w:r>
      <w:r w:rsidR="00175D72">
        <w:rPr>
          <w:lang w:val="pt-PT"/>
        </w:rPr>
        <w:t xml:space="preserve">, </w:t>
      </w:r>
      <w:r w:rsidR="00FF7CA6" w:rsidRPr="00FF7CA6">
        <w:rPr>
          <w:lang w:val="pt-PT"/>
        </w:rPr>
        <w:t>Portugal</w:t>
      </w:r>
      <w:r w:rsidRPr="00FF7CA6">
        <w:rPr>
          <w:lang w:val="pt-PT"/>
        </w:rPr>
        <w:t xml:space="preserve"> </w:t>
      </w:r>
    </w:p>
    <w:p w14:paraId="669AF0AE" w14:textId="28A92680" w:rsidR="00FF7CA6" w:rsidRPr="002C389E" w:rsidRDefault="00B57E6F" w:rsidP="00B57E6F">
      <w:pPr>
        <w:pStyle w:val="CETAddress"/>
        <w:rPr>
          <w:lang w:val="it-IT"/>
        </w:rPr>
      </w:pPr>
      <w:bookmarkStart w:id="4" w:name="_Hlk92401237"/>
      <w:r w:rsidRPr="002C389E">
        <w:rPr>
          <w:vertAlign w:val="superscript"/>
          <w:lang w:val="it-IT"/>
        </w:rPr>
        <w:t>b</w:t>
      </w:r>
      <w:r w:rsidR="00FF7CA6" w:rsidRPr="002C389E">
        <w:rPr>
          <w:lang w:val="it-IT"/>
        </w:rPr>
        <w:t xml:space="preserve">Dipartimento di Chimica, Sapienza </w:t>
      </w:r>
      <w:r w:rsidR="00175D72" w:rsidRPr="002C389E">
        <w:rPr>
          <w:lang w:val="it-IT"/>
        </w:rPr>
        <w:t xml:space="preserve">Università </w:t>
      </w:r>
      <w:r w:rsidR="00FF7CA6" w:rsidRPr="002C389E">
        <w:rPr>
          <w:lang w:val="it-IT"/>
        </w:rPr>
        <w:t xml:space="preserve">di Roma, Piazzale Aldo Moro 5, 00185, </w:t>
      </w:r>
      <w:r w:rsidR="00175D72" w:rsidRPr="002C389E">
        <w:rPr>
          <w:lang w:val="it-IT"/>
        </w:rPr>
        <w:t>Rom</w:t>
      </w:r>
      <w:r w:rsidR="00175D72">
        <w:rPr>
          <w:lang w:val="it-IT"/>
        </w:rPr>
        <w:t>e</w:t>
      </w:r>
      <w:r w:rsidR="00FF7CA6" w:rsidRPr="002C389E">
        <w:rPr>
          <w:lang w:val="it-IT"/>
        </w:rPr>
        <w:t>, Ital</w:t>
      </w:r>
      <w:r w:rsidR="00175D72">
        <w:rPr>
          <w:lang w:val="it-IT"/>
        </w:rPr>
        <w:t>y</w:t>
      </w:r>
    </w:p>
    <w:bookmarkEnd w:id="4"/>
    <w:p w14:paraId="61103B52" w14:textId="0F074466" w:rsidR="00B57E6F" w:rsidRPr="002C389E" w:rsidRDefault="008036C1" w:rsidP="00B57E6F">
      <w:pPr>
        <w:pStyle w:val="CETAddress"/>
        <w:rPr>
          <w:lang w:val="it-IT"/>
        </w:rPr>
      </w:pPr>
      <w:r w:rsidRPr="002C389E">
        <w:rPr>
          <w:vertAlign w:val="superscript"/>
          <w:lang w:val="it-IT"/>
        </w:rPr>
        <w:t>c</w:t>
      </w:r>
      <w:r w:rsidR="00203D4D" w:rsidRPr="002C389E">
        <w:rPr>
          <w:lang w:val="it-IT"/>
        </w:rPr>
        <w:t xml:space="preserve">Technosind S.r.l., Via di Vannina, 88, 00156, </w:t>
      </w:r>
      <w:r w:rsidR="00175D72" w:rsidRPr="002C389E">
        <w:rPr>
          <w:lang w:val="it-IT"/>
        </w:rPr>
        <w:t>Rom</w:t>
      </w:r>
      <w:r w:rsidR="00175D72">
        <w:rPr>
          <w:lang w:val="it-IT"/>
        </w:rPr>
        <w:t>e</w:t>
      </w:r>
      <w:r w:rsidR="00203D4D" w:rsidRPr="002C389E">
        <w:rPr>
          <w:lang w:val="it-IT"/>
        </w:rPr>
        <w:t xml:space="preserve">, </w:t>
      </w:r>
      <w:r w:rsidR="00175D72" w:rsidRPr="002C389E">
        <w:rPr>
          <w:lang w:val="it-IT"/>
        </w:rPr>
        <w:t>I</w:t>
      </w:r>
      <w:r w:rsidR="00175D72">
        <w:rPr>
          <w:lang w:val="it-IT"/>
        </w:rPr>
        <w:t>taly</w:t>
      </w:r>
    </w:p>
    <w:p w14:paraId="46C09926" w14:textId="77777777" w:rsidR="00B57E6F" w:rsidRPr="002C389E" w:rsidRDefault="00B57E6F" w:rsidP="00B57E6F">
      <w:pPr>
        <w:pStyle w:val="CETemail"/>
        <w:rPr>
          <w:lang w:val="it-IT"/>
        </w:rPr>
      </w:pPr>
      <w:r w:rsidRPr="002C389E">
        <w:rPr>
          <w:lang w:val="it-IT"/>
        </w:rPr>
        <w:t xml:space="preserve"> </w:t>
      </w:r>
      <w:hyperlink r:id="rId10" w:history="1">
        <w:r w:rsidR="00F57D1D" w:rsidRPr="002C389E">
          <w:rPr>
            <w:rStyle w:val="Hiperligao"/>
            <w:lang w:val="it-IT"/>
          </w:rPr>
          <w:t>pamm@uevora.pt</w:t>
        </w:r>
      </w:hyperlink>
      <w:r w:rsidR="00F57D1D" w:rsidRPr="002C389E">
        <w:rPr>
          <w:lang w:val="it-IT"/>
        </w:rPr>
        <w:t xml:space="preserve">; </w:t>
      </w:r>
      <w:hyperlink r:id="rId11" w:history="1">
        <w:r w:rsidR="00F9316B" w:rsidRPr="002C389E">
          <w:rPr>
            <w:rStyle w:val="Hiperligao"/>
            <w:lang w:val="it-IT"/>
          </w:rPr>
          <w:t>fabrizio.dicaprio@uniroma1.it</w:t>
        </w:r>
      </w:hyperlink>
      <w:r w:rsidR="00F9316B" w:rsidRPr="002C389E">
        <w:rPr>
          <w:lang w:val="it-IT"/>
        </w:rPr>
        <w:t xml:space="preserve"> </w:t>
      </w:r>
    </w:p>
    <w:p w14:paraId="2F03D676" w14:textId="2EFFA998" w:rsidR="00506808" w:rsidRPr="00E578DF" w:rsidRDefault="00351CE1" w:rsidP="00351CE1">
      <w:pPr>
        <w:pStyle w:val="CETBodytext"/>
      </w:pPr>
      <w:bookmarkStart w:id="5" w:name="_Hlk94112397"/>
      <w:r w:rsidRPr="00351CE1">
        <w:t xml:space="preserve">Water contamination by arsenic (As) takes place over extended geographic areas and it represents an environmental issue of global concern due to the severe threats to human health. One main limitation in applying </w:t>
      </w:r>
      <w:proofErr w:type="gramStart"/>
      <w:r w:rsidRPr="00351CE1">
        <w:t>As</w:t>
      </w:r>
      <w:proofErr w:type="gramEnd"/>
      <w:r w:rsidRPr="00351CE1">
        <w:t xml:space="preserve"> treatment systems is the high cost of conventional adsorbents (5-10 € kg</w:t>
      </w:r>
      <w:r w:rsidRPr="00351CE1">
        <w:rPr>
          <w:vertAlign w:val="superscript"/>
        </w:rPr>
        <w:t>-1</w:t>
      </w:r>
      <w:r w:rsidRPr="00351CE1">
        <w:t xml:space="preserve">, granular ferric oxides, GFO). In recent studies, hydrothermal carbonization (HTC) was proved to be a promising process to convert olive pomace (an agro-industrial by-product) to an innovative adsorbent for </w:t>
      </w:r>
      <w:proofErr w:type="gramStart"/>
      <w:r w:rsidRPr="00351CE1">
        <w:t>As</w:t>
      </w:r>
      <w:proofErr w:type="gramEnd"/>
      <w:r w:rsidRPr="00351CE1">
        <w:t xml:space="preserve"> removal by combining HTC with iron oxide doping (by precipitation). However, to date, a major gap in this scientific field is the needing for scalable granulation and activation systems to convert the </w:t>
      </w:r>
      <w:proofErr w:type="spellStart"/>
      <w:r w:rsidRPr="00351CE1">
        <w:t>hydrochar</w:t>
      </w:r>
      <w:proofErr w:type="spellEnd"/>
      <w:r w:rsidRPr="00351CE1">
        <w:t xml:space="preserve"> powder to particles with higher size, surface area and water stability (namely reduced release of organics), suitable for their use in fixed bed-columns. The aim of this work was to contribute on filling this gap, by studying a process to transform the bio-adsorbent powder (iron doped </w:t>
      </w:r>
      <w:proofErr w:type="spellStart"/>
      <w:r w:rsidRPr="00351CE1">
        <w:t>hydrochar</w:t>
      </w:r>
      <w:proofErr w:type="spellEnd"/>
      <w:r w:rsidRPr="00351CE1">
        <w:t>, IH) to granules usable in fixed bed columns. Different common binders were compared; among these, sodium silicate showed better results, at content between 36-53 %, allowing to produce an adsorbent able to remove up to 12.2 mg g</w:t>
      </w:r>
      <w:r w:rsidRPr="00351CE1">
        <w:rPr>
          <w:vertAlign w:val="superscript"/>
        </w:rPr>
        <w:t>-1</w:t>
      </w:r>
      <w:r w:rsidRPr="00351CE1">
        <w:t xml:space="preserve"> As. However, the increase in activation temperature and silicate % increased the alkaline property of the adsorbent, which required up to 9.4 mol H</w:t>
      </w:r>
      <w:r w:rsidRPr="00351CE1">
        <w:rPr>
          <w:vertAlign w:val="superscript"/>
        </w:rPr>
        <w:t>+</w:t>
      </w:r>
      <w:r w:rsidRPr="00351CE1">
        <w:t xml:space="preserve"> g</w:t>
      </w:r>
      <w:r w:rsidRPr="00351CE1">
        <w:rPr>
          <w:vertAlign w:val="superscript"/>
        </w:rPr>
        <w:t xml:space="preserve">-1 </w:t>
      </w:r>
      <w:r w:rsidRPr="00351CE1">
        <w:t>for neutralization, indicating a preliminary washing required before its application for water treatment. Preliminary cost analysis indicated that the cost to be sustained for silicate binder addition could be compatible with the production of a cheaper adsorbent; however, a more comprehensive analysis of the whole process is required.</w:t>
      </w:r>
      <w:bookmarkStart w:id="6" w:name="_Hlk495475023"/>
      <w:bookmarkEnd w:id="5"/>
    </w:p>
    <w:bookmarkEnd w:id="6"/>
    <w:p w14:paraId="5BD3FC3E" w14:textId="77777777" w:rsidR="00600535" w:rsidRPr="00B57B36" w:rsidRDefault="00600535" w:rsidP="00600535">
      <w:pPr>
        <w:pStyle w:val="CETHeading1"/>
        <w:rPr>
          <w:lang w:val="en-GB"/>
        </w:rPr>
      </w:pPr>
      <w:r w:rsidRPr="00B57B36">
        <w:rPr>
          <w:lang w:val="en-GB"/>
        </w:rPr>
        <w:t>Introduction</w:t>
      </w:r>
    </w:p>
    <w:p w14:paraId="30CFA7ED" w14:textId="1C5108C7" w:rsidR="005E3DB3" w:rsidRDefault="00A23186" w:rsidP="00600535">
      <w:pPr>
        <w:pStyle w:val="CETBodytext"/>
        <w:rPr>
          <w:lang w:val="en-GB"/>
        </w:rPr>
      </w:pPr>
      <w:r>
        <w:rPr>
          <w:lang w:val="en-GB"/>
        </w:rPr>
        <w:t>Arsenic</w:t>
      </w:r>
      <w:r w:rsidR="00EE7D95">
        <w:rPr>
          <w:lang w:val="en-GB"/>
        </w:rPr>
        <w:t xml:space="preserve"> </w:t>
      </w:r>
      <w:r w:rsidR="00AF138C">
        <w:rPr>
          <w:lang w:val="en-GB"/>
        </w:rPr>
        <w:t xml:space="preserve">(As) </w:t>
      </w:r>
      <w:r w:rsidR="00DF7C0D">
        <w:rPr>
          <w:lang w:val="en-GB"/>
        </w:rPr>
        <w:t xml:space="preserve">is released </w:t>
      </w:r>
      <w:r w:rsidR="00DF7C0D" w:rsidRPr="0092303D">
        <w:rPr>
          <w:lang w:val="en-GB"/>
        </w:rPr>
        <w:t>in the environment</w:t>
      </w:r>
      <w:r w:rsidR="00DF7C0D">
        <w:rPr>
          <w:lang w:val="en-GB"/>
        </w:rPr>
        <w:t xml:space="preserve"> from</w:t>
      </w:r>
      <w:r w:rsidR="0092303D" w:rsidRPr="0092303D">
        <w:rPr>
          <w:lang w:val="en-GB"/>
        </w:rPr>
        <w:t xml:space="preserve"> natural and anthropogenic sources (</w:t>
      </w:r>
      <w:proofErr w:type="gramStart"/>
      <w:r w:rsidR="0092303D" w:rsidRPr="0092303D">
        <w:rPr>
          <w:lang w:val="en-GB"/>
        </w:rPr>
        <w:t>e.g.</w:t>
      </w:r>
      <w:proofErr w:type="gramEnd"/>
      <w:r w:rsidR="0092303D" w:rsidRPr="0092303D">
        <w:rPr>
          <w:lang w:val="en-GB"/>
        </w:rPr>
        <w:t xml:space="preserve"> </w:t>
      </w:r>
      <w:r w:rsidR="00DF7C0D">
        <w:rPr>
          <w:lang w:val="en-GB"/>
        </w:rPr>
        <w:t>geochemical, volcanic,</w:t>
      </w:r>
      <w:r w:rsidR="0092303D" w:rsidRPr="0092303D">
        <w:rPr>
          <w:lang w:val="en-GB"/>
        </w:rPr>
        <w:t xml:space="preserve"> mining and others) in</w:t>
      </w:r>
      <w:r>
        <w:rPr>
          <w:lang w:val="en-GB"/>
        </w:rPr>
        <w:t xml:space="preserve"> </w:t>
      </w:r>
      <w:r w:rsidR="0092303D" w:rsidRPr="0092303D">
        <w:rPr>
          <w:lang w:val="en-GB"/>
        </w:rPr>
        <w:t xml:space="preserve">most diverse locations (e.g. Europe, </w:t>
      </w:r>
      <w:r>
        <w:rPr>
          <w:lang w:val="en-GB"/>
        </w:rPr>
        <w:t>Asia</w:t>
      </w:r>
      <w:r w:rsidR="0092303D" w:rsidRPr="0092303D">
        <w:rPr>
          <w:lang w:val="en-GB"/>
        </w:rPr>
        <w:t xml:space="preserve">), </w:t>
      </w:r>
      <w:r>
        <w:rPr>
          <w:lang w:val="en-GB"/>
        </w:rPr>
        <w:t xml:space="preserve">where it </w:t>
      </w:r>
      <w:r w:rsidR="0092303D" w:rsidRPr="0092303D">
        <w:rPr>
          <w:lang w:val="en-GB"/>
        </w:rPr>
        <w:t xml:space="preserve">often constitutes </w:t>
      </w:r>
      <w:r>
        <w:rPr>
          <w:lang w:val="en-GB"/>
        </w:rPr>
        <w:t xml:space="preserve">a </w:t>
      </w:r>
      <w:r w:rsidR="0092303D" w:rsidRPr="0092303D">
        <w:rPr>
          <w:lang w:val="en-GB"/>
        </w:rPr>
        <w:t xml:space="preserve">worldwide health problem </w:t>
      </w:r>
      <w:r w:rsidR="00F348C5">
        <w:rPr>
          <w:lang w:val="en-GB"/>
        </w:rPr>
        <w:t>(</w:t>
      </w:r>
      <w:r w:rsidR="00BD4056" w:rsidRPr="00BD4056">
        <w:rPr>
          <w:lang w:val="en-GB"/>
        </w:rPr>
        <w:t>Podgorski</w:t>
      </w:r>
      <w:r w:rsidR="00637975">
        <w:rPr>
          <w:lang w:val="en-GB"/>
        </w:rPr>
        <w:t xml:space="preserve"> et al., 2020</w:t>
      </w:r>
      <w:r w:rsidR="00F348C5">
        <w:rPr>
          <w:lang w:val="en-GB"/>
        </w:rPr>
        <w:t>)</w:t>
      </w:r>
      <w:r w:rsidR="0092303D" w:rsidRPr="0092303D">
        <w:rPr>
          <w:lang w:val="en-GB"/>
        </w:rPr>
        <w:t xml:space="preserve">, </w:t>
      </w:r>
      <w:r w:rsidR="003D5679">
        <w:rPr>
          <w:lang w:val="en-GB"/>
        </w:rPr>
        <w:t>main</w:t>
      </w:r>
      <w:r w:rsidR="003D5679" w:rsidRPr="0092303D">
        <w:rPr>
          <w:lang w:val="en-GB"/>
        </w:rPr>
        <w:t xml:space="preserve">ly </w:t>
      </w:r>
      <w:r w:rsidR="0092303D" w:rsidRPr="0092303D">
        <w:rPr>
          <w:lang w:val="en-GB"/>
        </w:rPr>
        <w:t xml:space="preserve">when this metal is present in high concentrations in water used for human consumption </w:t>
      </w:r>
      <w:r w:rsidR="00F348C5">
        <w:rPr>
          <w:lang w:val="en-GB"/>
        </w:rPr>
        <w:t>(</w:t>
      </w:r>
      <w:proofErr w:type="spellStart"/>
      <w:r w:rsidR="00F904BD" w:rsidRPr="00F904BD">
        <w:rPr>
          <w:lang w:val="en-GB"/>
        </w:rPr>
        <w:t>Rahaman</w:t>
      </w:r>
      <w:proofErr w:type="spellEnd"/>
      <w:r w:rsidR="00DA17CC">
        <w:rPr>
          <w:lang w:val="en-GB"/>
        </w:rPr>
        <w:t xml:space="preserve"> et al., 2022</w:t>
      </w:r>
      <w:r w:rsidR="00F348C5">
        <w:rPr>
          <w:lang w:val="en-GB"/>
        </w:rPr>
        <w:t>)</w:t>
      </w:r>
      <w:r w:rsidR="005837C1">
        <w:rPr>
          <w:lang w:val="en-GB"/>
        </w:rPr>
        <w:t>. A</w:t>
      </w:r>
      <w:r w:rsidR="0092303D" w:rsidRPr="0092303D">
        <w:rPr>
          <w:lang w:val="en-GB"/>
        </w:rPr>
        <w:t xml:space="preserve">ware of the harmful impacts of this reality, in 1993 the World Health Organization (WHO) </w:t>
      </w:r>
      <w:r>
        <w:rPr>
          <w:lang w:val="en-GB"/>
        </w:rPr>
        <w:t>reduced</w:t>
      </w:r>
      <w:r w:rsidRPr="0092303D">
        <w:rPr>
          <w:lang w:val="en-GB"/>
        </w:rPr>
        <w:t xml:space="preserve"> </w:t>
      </w:r>
      <w:r w:rsidR="0092303D" w:rsidRPr="0092303D">
        <w:rPr>
          <w:lang w:val="en-GB"/>
        </w:rPr>
        <w:t xml:space="preserve">the maximum value for </w:t>
      </w:r>
      <w:proofErr w:type="gramStart"/>
      <w:r w:rsidR="00175D72">
        <w:rPr>
          <w:lang w:val="en-GB"/>
        </w:rPr>
        <w:t>As</w:t>
      </w:r>
      <w:proofErr w:type="gramEnd"/>
      <w:r w:rsidR="00175D72" w:rsidRPr="0092303D">
        <w:rPr>
          <w:lang w:val="en-GB"/>
        </w:rPr>
        <w:t xml:space="preserve"> </w:t>
      </w:r>
      <w:r w:rsidR="0092303D" w:rsidRPr="0092303D">
        <w:rPr>
          <w:lang w:val="en-GB"/>
        </w:rPr>
        <w:t xml:space="preserve">in water for human consumption from 50 to 10 </w:t>
      </w:r>
      <w:r>
        <w:rPr>
          <w:rFonts w:ascii="Calibri" w:hAnsi="Calibri" w:cs="Calibri"/>
          <w:lang w:val="en-GB"/>
        </w:rPr>
        <w:t>µ</w:t>
      </w:r>
      <w:r w:rsidR="0092303D" w:rsidRPr="0092303D">
        <w:rPr>
          <w:lang w:val="en-GB"/>
        </w:rPr>
        <w:t>g</w:t>
      </w:r>
      <w:r w:rsidR="005837C1">
        <w:rPr>
          <w:lang w:val="en-GB"/>
        </w:rPr>
        <w:t xml:space="preserve"> </w:t>
      </w:r>
      <w:r w:rsidR="0092303D" w:rsidRPr="0092303D">
        <w:rPr>
          <w:lang w:val="en-GB"/>
        </w:rPr>
        <w:t>L</w:t>
      </w:r>
      <w:r w:rsidR="0092303D" w:rsidRPr="0092303D">
        <w:rPr>
          <w:vertAlign w:val="superscript"/>
          <w:lang w:val="en-GB"/>
        </w:rPr>
        <w:t>-1</w:t>
      </w:r>
      <w:r w:rsidR="0092303D" w:rsidRPr="0092303D">
        <w:rPr>
          <w:lang w:val="en-GB"/>
        </w:rPr>
        <w:t xml:space="preserve">, which </w:t>
      </w:r>
      <w:r w:rsidR="00900829" w:rsidRPr="0092303D">
        <w:rPr>
          <w:lang w:val="en-GB"/>
        </w:rPr>
        <w:t xml:space="preserve">the European Union </w:t>
      </w:r>
      <w:r w:rsidR="0092303D" w:rsidRPr="0092303D">
        <w:rPr>
          <w:lang w:val="en-GB"/>
        </w:rPr>
        <w:t>adopted</w:t>
      </w:r>
      <w:r w:rsidR="00900829">
        <w:rPr>
          <w:lang w:val="en-GB"/>
        </w:rPr>
        <w:t xml:space="preserve"> </w:t>
      </w:r>
      <w:r w:rsidR="0092303D" w:rsidRPr="0092303D">
        <w:rPr>
          <w:lang w:val="en-GB"/>
        </w:rPr>
        <w:t xml:space="preserve">in 2003 (Directive 98/83/EC). This legal framework requires an effort by government entities and companies in the water treatment sector to reduce the costs of the processes used and, in particular, the high costs (5-10 </w:t>
      </w:r>
      <w:r w:rsidR="00AA2E63">
        <w:rPr>
          <w:rFonts w:cs="Arial"/>
          <w:lang w:val="en-GB"/>
        </w:rPr>
        <w:t>€</w:t>
      </w:r>
      <w:r w:rsidR="005837C1">
        <w:rPr>
          <w:rFonts w:cs="Arial"/>
          <w:lang w:val="en-GB"/>
        </w:rPr>
        <w:t xml:space="preserve"> </w:t>
      </w:r>
      <w:proofErr w:type="gramStart"/>
      <w:r w:rsidR="0092303D" w:rsidRPr="0092303D">
        <w:rPr>
          <w:lang w:val="en-GB"/>
        </w:rPr>
        <w:t>kg</w:t>
      </w:r>
      <w:r w:rsidR="0092303D" w:rsidRPr="0091661B">
        <w:rPr>
          <w:vertAlign w:val="superscript"/>
          <w:lang w:val="en-GB"/>
        </w:rPr>
        <w:t>-1</w:t>
      </w:r>
      <w:proofErr w:type="gramEnd"/>
      <w:r w:rsidR="0092303D" w:rsidRPr="0092303D">
        <w:rPr>
          <w:lang w:val="en-GB"/>
        </w:rPr>
        <w:t xml:space="preserve">) of the adsorbents conventionally used (GFO) </w:t>
      </w:r>
      <w:r w:rsidR="00BD1140">
        <w:rPr>
          <w:lang w:val="en-GB"/>
        </w:rPr>
        <w:t>(</w:t>
      </w:r>
      <w:proofErr w:type="spellStart"/>
      <w:r w:rsidR="00BD1140" w:rsidRPr="00BD1140">
        <w:rPr>
          <w:lang w:val="en-GB"/>
        </w:rPr>
        <w:t>Nicomel</w:t>
      </w:r>
      <w:proofErr w:type="spellEnd"/>
      <w:r w:rsidR="00BD1140">
        <w:rPr>
          <w:lang w:val="en-GB"/>
        </w:rPr>
        <w:t xml:space="preserve"> et al., 2015)</w:t>
      </w:r>
      <w:r w:rsidR="0092303D" w:rsidRPr="0092303D">
        <w:rPr>
          <w:lang w:val="en-GB"/>
        </w:rPr>
        <w:t>.</w:t>
      </w:r>
      <w:r w:rsidR="005837C1">
        <w:rPr>
          <w:lang w:val="en-GB"/>
        </w:rPr>
        <w:t xml:space="preserve"> </w:t>
      </w:r>
      <w:r w:rsidR="00900829">
        <w:rPr>
          <w:lang w:val="en-GB"/>
        </w:rPr>
        <w:t>A</w:t>
      </w:r>
      <w:r w:rsidR="00900829" w:rsidRPr="00544D8E">
        <w:rPr>
          <w:lang w:val="en-GB"/>
        </w:rPr>
        <w:t xml:space="preserve">s </w:t>
      </w:r>
      <w:r w:rsidR="00544D8E" w:rsidRPr="00544D8E">
        <w:rPr>
          <w:lang w:val="en-GB"/>
        </w:rPr>
        <w:t xml:space="preserve">precursor materials and by-products of various activities, </w:t>
      </w:r>
      <w:r w:rsidR="00900829">
        <w:rPr>
          <w:lang w:val="en-GB"/>
        </w:rPr>
        <w:t>lignocellulosic materials</w:t>
      </w:r>
      <w:r w:rsidR="00900829" w:rsidRPr="00544D8E">
        <w:rPr>
          <w:lang w:val="en-GB"/>
        </w:rPr>
        <w:t xml:space="preserve"> </w:t>
      </w:r>
      <w:r w:rsidR="00544D8E" w:rsidRPr="00544D8E">
        <w:rPr>
          <w:lang w:val="en-GB"/>
        </w:rPr>
        <w:t xml:space="preserve">are cheap sources of renewable materials with high potential for use in large-scale industrial processes </w:t>
      </w:r>
      <w:r w:rsidR="00BD4E2E">
        <w:rPr>
          <w:lang w:val="en-GB"/>
        </w:rPr>
        <w:t>(Gil, 2021)</w:t>
      </w:r>
      <w:r w:rsidR="00544D8E" w:rsidRPr="00544D8E">
        <w:rPr>
          <w:lang w:val="en-GB"/>
        </w:rPr>
        <w:t>. Among these, olive pomace</w:t>
      </w:r>
      <w:r w:rsidR="00C7615D">
        <w:rPr>
          <w:lang w:val="en-GB"/>
        </w:rPr>
        <w:t xml:space="preserve"> is</w:t>
      </w:r>
      <w:r w:rsidR="00544D8E" w:rsidRPr="00544D8E">
        <w:rPr>
          <w:lang w:val="en-GB"/>
        </w:rPr>
        <w:t xml:space="preserve"> a by-product of olive oil </w:t>
      </w:r>
      <w:r w:rsidR="00C7615D">
        <w:rPr>
          <w:lang w:val="en-GB"/>
        </w:rPr>
        <w:t xml:space="preserve">industrial </w:t>
      </w:r>
      <w:r w:rsidR="00544D8E" w:rsidRPr="00544D8E">
        <w:rPr>
          <w:lang w:val="en-GB"/>
        </w:rPr>
        <w:t>production,</w:t>
      </w:r>
      <w:r w:rsidR="00C7615D">
        <w:rPr>
          <w:lang w:val="en-GB"/>
        </w:rPr>
        <w:t xml:space="preserve"> produced</w:t>
      </w:r>
      <w:r w:rsidR="00544D8E" w:rsidRPr="00544D8E">
        <w:rPr>
          <w:lang w:val="en-GB"/>
        </w:rPr>
        <w:t xml:space="preserve"> in high quantity in countries like Italy</w:t>
      </w:r>
      <w:r w:rsidR="00260D68">
        <w:rPr>
          <w:lang w:val="en-GB"/>
        </w:rPr>
        <w:t xml:space="preserve">, </w:t>
      </w:r>
      <w:r w:rsidR="005362C1" w:rsidRPr="00544D8E">
        <w:rPr>
          <w:lang w:val="en-GB"/>
        </w:rPr>
        <w:t>Portugal</w:t>
      </w:r>
      <w:r w:rsidR="00900829">
        <w:rPr>
          <w:lang w:val="en-GB"/>
        </w:rPr>
        <w:t>,</w:t>
      </w:r>
      <w:r w:rsidR="00260D68">
        <w:rPr>
          <w:lang w:val="en-GB"/>
        </w:rPr>
        <w:t xml:space="preserve"> and </w:t>
      </w:r>
      <w:r w:rsidR="00260D68" w:rsidRPr="005055ED">
        <w:rPr>
          <w:lang w:val="en-GB"/>
        </w:rPr>
        <w:t>Spain (13</w:t>
      </w:r>
      <w:r w:rsidR="00DE550B" w:rsidRPr="005055ED">
        <w:rPr>
          <w:lang w:val="en-GB"/>
        </w:rPr>
        <w:t xml:space="preserve"> </w:t>
      </w:r>
      <w:r w:rsidR="00DE550B" w:rsidRPr="005055ED">
        <w:rPr>
          <w:rFonts w:cs="Arial"/>
          <w:lang w:val="en-GB"/>
        </w:rPr>
        <w:t>∙</w:t>
      </w:r>
      <w:r w:rsidR="00DE550B" w:rsidRPr="005055ED">
        <w:rPr>
          <w:lang w:val="en-GB"/>
        </w:rPr>
        <w:t xml:space="preserve"> 10</w:t>
      </w:r>
      <w:r w:rsidR="00CC4F80" w:rsidRPr="005055ED">
        <w:rPr>
          <w:vertAlign w:val="superscript"/>
        </w:rPr>
        <w:t>6</w:t>
      </w:r>
      <w:r w:rsidR="00260D68" w:rsidRPr="005055ED">
        <w:rPr>
          <w:lang w:val="en-GB"/>
        </w:rPr>
        <w:t xml:space="preserve"> </w:t>
      </w:r>
      <w:r w:rsidR="00DE550B" w:rsidRPr="005055ED">
        <w:rPr>
          <w:lang w:val="en-GB"/>
        </w:rPr>
        <w:t>t</w:t>
      </w:r>
      <w:r w:rsidR="00260D68" w:rsidRPr="005055ED">
        <w:rPr>
          <w:lang w:val="en-GB"/>
        </w:rPr>
        <w:t xml:space="preserve"> were</w:t>
      </w:r>
      <w:r w:rsidR="00260D68">
        <w:rPr>
          <w:lang w:val="en-GB"/>
        </w:rPr>
        <w:t xml:space="preserve"> produced on 2017/2018 campaign)</w:t>
      </w:r>
      <w:r w:rsidR="00C7615D">
        <w:rPr>
          <w:lang w:val="en-GB"/>
        </w:rPr>
        <w:t xml:space="preserve">. </w:t>
      </w:r>
      <w:r w:rsidR="00900829">
        <w:rPr>
          <w:lang w:val="en-GB"/>
        </w:rPr>
        <w:t>Therefore, i</w:t>
      </w:r>
      <w:r w:rsidR="00C7615D">
        <w:rPr>
          <w:lang w:val="en-GB"/>
        </w:rPr>
        <w:t xml:space="preserve">ts valorisation is </w:t>
      </w:r>
      <w:r w:rsidR="00544D8E" w:rsidRPr="00544D8E">
        <w:rPr>
          <w:lang w:val="en-GB"/>
        </w:rPr>
        <w:t xml:space="preserve">an opportunity and a challenge </w:t>
      </w:r>
      <w:r w:rsidR="00DE550B">
        <w:rPr>
          <w:lang w:val="en-GB"/>
        </w:rPr>
        <w:t>for a</w:t>
      </w:r>
      <w:r w:rsidR="00544D8E" w:rsidRPr="00544D8E">
        <w:rPr>
          <w:lang w:val="en-GB"/>
        </w:rPr>
        <w:t xml:space="preserve"> circular economy</w:t>
      </w:r>
      <w:r w:rsidR="00D51371">
        <w:rPr>
          <w:lang w:val="en-GB"/>
        </w:rPr>
        <w:t xml:space="preserve"> </w:t>
      </w:r>
      <w:r w:rsidR="008C4059">
        <w:rPr>
          <w:lang w:val="en-GB"/>
        </w:rPr>
        <w:t>(</w:t>
      </w:r>
      <w:r w:rsidR="008C4059" w:rsidRPr="008C4059">
        <w:rPr>
          <w:lang w:val="en-GB"/>
        </w:rPr>
        <w:t>Miranda</w:t>
      </w:r>
      <w:r w:rsidR="008C4059">
        <w:rPr>
          <w:lang w:val="en-GB"/>
        </w:rPr>
        <w:t xml:space="preserve"> et al., 2019)</w:t>
      </w:r>
      <w:r w:rsidR="00544D8E" w:rsidRPr="00544D8E">
        <w:rPr>
          <w:lang w:val="en-GB"/>
        </w:rPr>
        <w:t xml:space="preserve">. This biomass waste can be transformed to an adsorbent by hydrothermal carbonisation (HTC) accompanied by </w:t>
      </w:r>
      <w:r w:rsidR="00900829">
        <w:rPr>
          <w:lang w:val="en-GB"/>
        </w:rPr>
        <w:t>the</w:t>
      </w:r>
      <w:r w:rsidR="00544D8E" w:rsidRPr="00544D8E">
        <w:rPr>
          <w:lang w:val="en-GB"/>
        </w:rPr>
        <w:t xml:space="preserve"> process of doping </w:t>
      </w:r>
      <w:r w:rsidR="00C7615D">
        <w:rPr>
          <w:lang w:val="en-GB"/>
        </w:rPr>
        <w:t>by</w:t>
      </w:r>
      <w:r w:rsidR="00C7615D" w:rsidRPr="00544D8E">
        <w:rPr>
          <w:lang w:val="en-GB"/>
        </w:rPr>
        <w:t xml:space="preserve"> </w:t>
      </w:r>
      <w:r w:rsidR="00544D8E" w:rsidRPr="00544D8E">
        <w:rPr>
          <w:lang w:val="en-GB"/>
        </w:rPr>
        <w:lastRenderedPageBreak/>
        <w:t xml:space="preserve">iron oxide precipitation, increasing the </w:t>
      </w:r>
      <w:proofErr w:type="gramStart"/>
      <w:r w:rsidR="00175D72">
        <w:rPr>
          <w:lang w:val="en-GB"/>
        </w:rPr>
        <w:t>As</w:t>
      </w:r>
      <w:proofErr w:type="gramEnd"/>
      <w:r w:rsidR="00175D72" w:rsidRPr="00544D8E">
        <w:rPr>
          <w:lang w:val="en-GB"/>
        </w:rPr>
        <w:t xml:space="preserve"> </w:t>
      </w:r>
      <w:r w:rsidR="00544D8E" w:rsidRPr="00544D8E">
        <w:rPr>
          <w:lang w:val="en-GB"/>
        </w:rPr>
        <w:t xml:space="preserve">adsorption capacity and </w:t>
      </w:r>
      <w:r w:rsidR="007736CB" w:rsidRPr="007E79A4">
        <w:rPr>
          <w:highlight w:val="yellow"/>
          <w:lang w:val="en-GB"/>
        </w:rPr>
        <w:t>water</w:t>
      </w:r>
      <w:r w:rsidR="00544D8E" w:rsidRPr="007E79A4">
        <w:rPr>
          <w:highlight w:val="yellow"/>
          <w:lang w:val="en-GB"/>
        </w:rPr>
        <w:t xml:space="preserve"> stability</w:t>
      </w:r>
      <w:r w:rsidR="00544D8E" w:rsidRPr="00544D8E">
        <w:rPr>
          <w:lang w:val="en-GB"/>
        </w:rPr>
        <w:t xml:space="preserve"> of the adsorbent </w:t>
      </w:r>
      <w:r w:rsidR="00F82101">
        <w:rPr>
          <w:lang w:val="en-GB"/>
        </w:rPr>
        <w:t>(</w:t>
      </w:r>
      <w:r w:rsidR="007A78F4" w:rsidRPr="007A78F4">
        <w:rPr>
          <w:lang w:val="en-GB"/>
        </w:rPr>
        <w:t xml:space="preserve">Capobianco </w:t>
      </w:r>
      <w:r w:rsidR="007A78F4">
        <w:rPr>
          <w:lang w:val="en-GB"/>
        </w:rPr>
        <w:t>et al., 2020</w:t>
      </w:r>
      <w:r w:rsidR="00D76C5C">
        <w:rPr>
          <w:lang w:val="en-GB"/>
        </w:rPr>
        <w:t>).</w:t>
      </w:r>
      <w:r w:rsidR="004F77A1">
        <w:rPr>
          <w:lang w:val="en-GB"/>
        </w:rPr>
        <w:t xml:space="preserve"> However, this adsorbent </w:t>
      </w:r>
      <w:r w:rsidR="00956326">
        <w:rPr>
          <w:lang w:val="en-GB"/>
        </w:rPr>
        <w:t xml:space="preserve">has been </w:t>
      </w:r>
      <w:r w:rsidR="004F77A1">
        <w:rPr>
          <w:lang w:val="en-GB"/>
        </w:rPr>
        <w:t>only produced as a powder</w:t>
      </w:r>
      <w:r w:rsidR="00956326">
        <w:rPr>
          <w:lang w:val="en-GB"/>
        </w:rPr>
        <w:t xml:space="preserve"> with granulometry mostly between 90-500 </w:t>
      </w:r>
      <w:r w:rsidR="00956326">
        <w:rPr>
          <w:rFonts w:ascii="Calibri" w:hAnsi="Calibri" w:cs="Calibri"/>
          <w:lang w:val="en-GB"/>
        </w:rPr>
        <w:t>µ</w:t>
      </w:r>
      <w:r w:rsidR="00956326">
        <w:rPr>
          <w:lang w:val="en-GB"/>
        </w:rPr>
        <w:t>m</w:t>
      </w:r>
      <w:r w:rsidR="00105A18">
        <w:rPr>
          <w:lang w:val="en-GB"/>
        </w:rPr>
        <w:t xml:space="preserve"> (</w:t>
      </w:r>
      <w:proofErr w:type="spellStart"/>
      <w:r w:rsidR="00105A18">
        <w:rPr>
          <w:lang w:val="en-GB"/>
        </w:rPr>
        <w:t>Capobiando</w:t>
      </w:r>
      <w:proofErr w:type="spellEnd"/>
      <w:r w:rsidR="00105A18">
        <w:rPr>
          <w:lang w:val="en-GB"/>
        </w:rPr>
        <w:t xml:space="preserve"> et al. 2020)</w:t>
      </w:r>
      <w:r w:rsidR="004F77A1">
        <w:rPr>
          <w:lang w:val="en-GB"/>
        </w:rPr>
        <w:t xml:space="preserve">, </w:t>
      </w:r>
      <w:r w:rsidR="00956326">
        <w:rPr>
          <w:lang w:val="en-GB"/>
        </w:rPr>
        <w:t>which is difficult to use in fixed-bed columns.</w:t>
      </w:r>
      <w:r w:rsidR="00351CE1">
        <w:rPr>
          <w:lang w:val="en-GB"/>
        </w:rPr>
        <w:t xml:space="preserve"> </w:t>
      </w:r>
      <w:r w:rsidR="00E95704" w:rsidRPr="00E95704">
        <w:rPr>
          <w:lang w:val="en-GB"/>
        </w:rPr>
        <w:t xml:space="preserve">The feasibility of using this iron oxide doped </w:t>
      </w:r>
      <w:proofErr w:type="spellStart"/>
      <w:r w:rsidR="00E95704" w:rsidRPr="00E95704">
        <w:rPr>
          <w:lang w:val="en-GB"/>
        </w:rPr>
        <w:t>hydrochar</w:t>
      </w:r>
      <w:proofErr w:type="spellEnd"/>
      <w:r w:rsidR="00E95704" w:rsidRPr="00E95704">
        <w:rPr>
          <w:lang w:val="en-GB"/>
        </w:rPr>
        <w:t xml:space="preserve"> (IH) powder depends on the ability to aggregate it into a granulate</w:t>
      </w:r>
      <w:r w:rsidR="004510A9">
        <w:rPr>
          <w:lang w:val="en-GB"/>
        </w:rPr>
        <w:t>, maintaining</w:t>
      </w:r>
      <w:r w:rsidR="00E95704" w:rsidRPr="00E95704">
        <w:rPr>
          <w:lang w:val="en-GB"/>
        </w:rPr>
        <w:t xml:space="preserve"> </w:t>
      </w:r>
      <w:r w:rsidR="00900829">
        <w:rPr>
          <w:lang w:val="en-GB"/>
        </w:rPr>
        <w:t xml:space="preserve">the </w:t>
      </w:r>
      <w:r w:rsidR="00CB5DD3">
        <w:rPr>
          <w:lang w:val="en-GB"/>
        </w:rPr>
        <w:t xml:space="preserve">sufficiently </w:t>
      </w:r>
      <w:r w:rsidR="00E95704" w:rsidRPr="00E95704">
        <w:rPr>
          <w:lang w:val="en-GB"/>
        </w:rPr>
        <w:t>hig</w:t>
      </w:r>
      <w:r w:rsidR="00CB5DD3">
        <w:rPr>
          <w:lang w:val="en-GB"/>
        </w:rPr>
        <w:t>h</w:t>
      </w:r>
      <w:r w:rsidR="00E95704" w:rsidRPr="00E95704">
        <w:rPr>
          <w:lang w:val="en-GB"/>
        </w:rPr>
        <w:t xml:space="preserve"> surface area and </w:t>
      </w:r>
      <w:r w:rsidR="007736CB" w:rsidRPr="007E79A4">
        <w:rPr>
          <w:highlight w:val="yellow"/>
          <w:lang w:val="en-GB"/>
        </w:rPr>
        <w:t xml:space="preserve">water </w:t>
      </w:r>
      <w:r w:rsidR="007736CB">
        <w:rPr>
          <w:highlight w:val="yellow"/>
          <w:lang w:val="en-GB"/>
        </w:rPr>
        <w:t xml:space="preserve">and mechanical </w:t>
      </w:r>
      <w:r w:rsidR="00E95704" w:rsidRPr="007E79A4">
        <w:rPr>
          <w:highlight w:val="yellow"/>
          <w:lang w:val="en-GB"/>
        </w:rPr>
        <w:t>stability</w:t>
      </w:r>
      <w:r w:rsidR="00E95704" w:rsidRPr="00E95704">
        <w:rPr>
          <w:lang w:val="en-GB"/>
        </w:rPr>
        <w:t>.</w:t>
      </w:r>
      <w:r w:rsidR="004510A9">
        <w:rPr>
          <w:lang w:val="en-GB"/>
        </w:rPr>
        <w:t xml:space="preserve"> </w:t>
      </w:r>
      <w:r w:rsidR="00900829">
        <w:rPr>
          <w:lang w:val="en-GB"/>
        </w:rPr>
        <w:t>In addition, t</w:t>
      </w:r>
      <w:r w:rsidR="005D20A6" w:rsidRPr="005D20A6">
        <w:rPr>
          <w:lang w:val="en-GB"/>
        </w:rPr>
        <w:t xml:space="preserve">he adsorbent should match a </w:t>
      </w:r>
      <w:r w:rsidR="00CB5DD3">
        <w:rPr>
          <w:lang w:val="en-GB"/>
        </w:rPr>
        <w:t xml:space="preserve">suitable </w:t>
      </w:r>
      <w:r w:rsidR="005D20A6" w:rsidRPr="005D20A6">
        <w:rPr>
          <w:lang w:val="en-GB"/>
        </w:rPr>
        <w:t xml:space="preserve">particle size </w:t>
      </w:r>
      <w:r w:rsidR="004510A9" w:rsidRPr="00E95704">
        <w:rPr>
          <w:lang w:val="en-GB"/>
        </w:rPr>
        <w:t>(</w:t>
      </w:r>
      <w:r w:rsidR="004510A9">
        <w:rPr>
          <w:rFonts w:cs="Arial"/>
          <w:lang w:val="en-GB"/>
        </w:rPr>
        <w:t>0.3 -</w:t>
      </w:r>
      <w:r w:rsidR="004510A9">
        <w:rPr>
          <w:lang w:val="en-GB"/>
        </w:rPr>
        <w:t xml:space="preserve"> 5 </w:t>
      </w:r>
      <w:r w:rsidR="004510A9" w:rsidRPr="00E95704">
        <w:rPr>
          <w:lang w:val="en-GB"/>
        </w:rPr>
        <w:t>mm</w:t>
      </w:r>
      <w:r w:rsidR="004510A9">
        <w:rPr>
          <w:lang w:val="en-GB"/>
        </w:rPr>
        <w:t xml:space="preserve"> of size</w:t>
      </w:r>
      <w:r w:rsidR="004510A9" w:rsidRPr="00E95704">
        <w:rPr>
          <w:lang w:val="en-GB"/>
        </w:rPr>
        <w:t>)</w:t>
      </w:r>
      <w:r w:rsidR="005D20A6" w:rsidRPr="005D20A6">
        <w:rPr>
          <w:lang w:val="en-GB"/>
        </w:rPr>
        <w:t xml:space="preserve"> </w:t>
      </w:r>
      <w:r w:rsidR="004510A9">
        <w:rPr>
          <w:lang w:val="en-GB"/>
        </w:rPr>
        <w:t>to be used in</w:t>
      </w:r>
      <w:r w:rsidR="004510A9" w:rsidRPr="00294CD1">
        <w:rPr>
          <w:lang w:val="en-GB"/>
        </w:rPr>
        <w:t xml:space="preserve"> conventional plants </w:t>
      </w:r>
      <w:r w:rsidR="004510A9">
        <w:rPr>
          <w:lang w:val="en-GB"/>
        </w:rPr>
        <w:t>(</w:t>
      </w:r>
      <w:r w:rsidR="004510A9" w:rsidRPr="005D20A6">
        <w:rPr>
          <w:lang w:val="en-GB"/>
        </w:rPr>
        <w:t>fixed bed-columns</w:t>
      </w:r>
      <w:r w:rsidR="004510A9">
        <w:rPr>
          <w:lang w:val="en-GB"/>
        </w:rPr>
        <w:t xml:space="preserve">) </w:t>
      </w:r>
      <w:r w:rsidR="004510A9" w:rsidRPr="00294CD1">
        <w:rPr>
          <w:lang w:val="en-GB"/>
        </w:rPr>
        <w:t>for replacing conventional adsorbents</w:t>
      </w:r>
      <w:r w:rsidR="005A7EBC">
        <w:rPr>
          <w:lang w:val="en-GB"/>
        </w:rPr>
        <w:t>,</w:t>
      </w:r>
      <w:r w:rsidR="004510A9">
        <w:rPr>
          <w:lang w:val="en-GB"/>
        </w:rPr>
        <w:t xml:space="preserve"> </w:t>
      </w:r>
      <w:r w:rsidR="00956326">
        <w:rPr>
          <w:lang w:val="en-GB"/>
        </w:rPr>
        <w:t>avoid</w:t>
      </w:r>
      <w:r w:rsidR="005A7EBC">
        <w:rPr>
          <w:lang w:val="en-GB"/>
        </w:rPr>
        <w:t>ing</w:t>
      </w:r>
      <w:r w:rsidR="00956326">
        <w:rPr>
          <w:lang w:val="en-GB"/>
        </w:rPr>
        <w:t xml:space="preserve"> overpressure.</w:t>
      </w:r>
      <w:r w:rsidR="002C7F24">
        <w:rPr>
          <w:lang w:val="en-GB"/>
        </w:rPr>
        <w:t xml:space="preserve"> </w:t>
      </w:r>
      <w:r w:rsidR="00E81372" w:rsidRPr="00E81372">
        <w:rPr>
          <w:lang w:val="en-GB"/>
        </w:rPr>
        <w:t xml:space="preserve">Among the various possible granulation techniques, such as moulding, extrusion, </w:t>
      </w:r>
      <w:r w:rsidR="00E81372">
        <w:rPr>
          <w:lang w:val="en-GB"/>
        </w:rPr>
        <w:t xml:space="preserve">wet </w:t>
      </w:r>
      <w:r w:rsidR="003F3CCE">
        <w:rPr>
          <w:lang w:val="en-GB"/>
        </w:rPr>
        <w:t>or dry</w:t>
      </w:r>
      <w:r w:rsidR="00E81372" w:rsidRPr="00E81372">
        <w:rPr>
          <w:lang w:val="en-GB"/>
        </w:rPr>
        <w:t xml:space="preserve">, granulation by "spray rotary" can be classified as environmentally friendly as it involves </w:t>
      </w:r>
      <w:r w:rsidR="003F3CCE">
        <w:rPr>
          <w:lang w:val="en-GB"/>
        </w:rPr>
        <w:t>fewer</w:t>
      </w:r>
      <w:r w:rsidR="00E81372" w:rsidRPr="00E81372">
        <w:rPr>
          <w:lang w:val="en-GB"/>
        </w:rPr>
        <w:t xml:space="preserve"> steps</w:t>
      </w:r>
      <w:r w:rsidR="003F3CCE">
        <w:rPr>
          <w:lang w:val="en-GB"/>
        </w:rPr>
        <w:t xml:space="preserve"> and less</w:t>
      </w:r>
      <w:r w:rsidR="00FC2E5B">
        <w:rPr>
          <w:lang w:val="en-GB"/>
        </w:rPr>
        <w:t xml:space="preserve"> material and energy</w:t>
      </w:r>
      <w:r w:rsidR="00E81372" w:rsidRPr="00E81372">
        <w:rPr>
          <w:lang w:val="en-GB"/>
        </w:rPr>
        <w:t>. However,</w:t>
      </w:r>
      <w:r w:rsidR="001D44E3">
        <w:rPr>
          <w:lang w:val="en-GB"/>
        </w:rPr>
        <w:t xml:space="preserve"> since it</w:t>
      </w:r>
      <w:r w:rsidR="00E81372" w:rsidRPr="00E81372">
        <w:rPr>
          <w:lang w:val="en-GB"/>
        </w:rPr>
        <w:t xml:space="preserve"> does not use any kind of external pressure</w:t>
      </w:r>
      <w:r w:rsidR="003F3CCE">
        <w:rPr>
          <w:lang w:val="en-GB"/>
        </w:rPr>
        <w:t>,</w:t>
      </w:r>
      <w:r w:rsidR="00E81372" w:rsidRPr="00E81372">
        <w:rPr>
          <w:lang w:val="en-GB"/>
        </w:rPr>
        <w:t xml:space="preserve"> </w:t>
      </w:r>
      <w:r w:rsidR="003F3CCE">
        <w:rPr>
          <w:lang w:val="en-GB"/>
        </w:rPr>
        <w:t>the main challenge is finding</w:t>
      </w:r>
      <w:r w:rsidR="00E81372" w:rsidRPr="00E81372">
        <w:rPr>
          <w:lang w:val="en-GB"/>
        </w:rPr>
        <w:t xml:space="preserve"> a strong and fast acting binder</w:t>
      </w:r>
      <w:r w:rsidR="004E3B4A">
        <w:rPr>
          <w:lang w:val="en-GB"/>
        </w:rPr>
        <w:t>.</w:t>
      </w:r>
      <w:r w:rsidR="00603A35">
        <w:rPr>
          <w:lang w:val="en-GB"/>
        </w:rPr>
        <w:t xml:space="preserve"> </w:t>
      </w:r>
      <w:r w:rsidR="00157ED2" w:rsidRPr="00157ED2">
        <w:rPr>
          <w:lang w:val="en-GB"/>
        </w:rPr>
        <w:t xml:space="preserve">The literature shows </w:t>
      </w:r>
      <w:r w:rsidR="00BB6F51" w:rsidRPr="00157ED2">
        <w:rPr>
          <w:lang w:val="en-GB"/>
        </w:rPr>
        <w:t>many</w:t>
      </w:r>
      <w:r w:rsidR="00157ED2" w:rsidRPr="00157ED2">
        <w:rPr>
          <w:lang w:val="en-GB"/>
        </w:rPr>
        <w:t xml:space="preserve"> </w:t>
      </w:r>
      <w:r w:rsidR="003F3CCE">
        <w:rPr>
          <w:lang w:val="en-GB"/>
        </w:rPr>
        <w:t xml:space="preserve">potential </w:t>
      </w:r>
      <w:r w:rsidR="00157ED2" w:rsidRPr="00157ED2">
        <w:rPr>
          <w:lang w:val="en-GB"/>
        </w:rPr>
        <w:t>binders for</w:t>
      </w:r>
      <w:r w:rsidR="003F3CCE">
        <w:rPr>
          <w:lang w:val="en-GB"/>
        </w:rPr>
        <w:t xml:space="preserve"> the </w:t>
      </w:r>
      <w:r w:rsidR="00157ED2" w:rsidRPr="00157ED2">
        <w:rPr>
          <w:lang w:val="en-GB"/>
        </w:rPr>
        <w:t>agglomeration of adsorbents</w:t>
      </w:r>
      <w:r w:rsidR="00C032F8">
        <w:rPr>
          <w:lang w:val="en-GB"/>
        </w:rPr>
        <w:t>.</w:t>
      </w:r>
      <w:r w:rsidR="00157ED2" w:rsidRPr="00157ED2">
        <w:rPr>
          <w:lang w:val="en-GB"/>
        </w:rPr>
        <w:t xml:space="preserve"> </w:t>
      </w:r>
      <w:r w:rsidR="00956326">
        <w:rPr>
          <w:lang w:val="en-GB"/>
        </w:rPr>
        <w:t>T</w:t>
      </w:r>
      <w:r w:rsidR="00157ED2" w:rsidRPr="00157ED2">
        <w:rPr>
          <w:lang w:val="en-GB"/>
        </w:rPr>
        <w:t xml:space="preserve">he viability of the process implies a considerable </w:t>
      </w:r>
      <w:r w:rsidR="007559F7">
        <w:rPr>
          <w:lang w:val="en-GB"/>
        </w:rPr>
        <w:t>b</w:t>
      </w:r>
      <w:r w:rsidR="00157ED2" w:rsidRPr="00157ED2">
        <w:rPr>
          <w:lang w:val="en-GB"/>
        </w:rPr>
        <w:t>inder:</w:t>
      </w:r>
      <w:r w:rsidR="00900829">
        <w:rPr>
          <w:lang w:val="en-GB"/>
        </w:rPr>
        <w:t xml:space="preserve"> </w:t>
      </w:r>
      <w:r w:rsidR="007559F7">
        <w:rPr>
          <w:lang w:val="en-GB"/>
        </w:rPr>
        <w:t>a</w:t>
      </w:r>
      <w:r w:rsidR="00157ED2" w:rsidRPr="00157ED2">
        <w:rPr>
          <w:lang w:val="en-GB"/>
        </w:rPr>
        <w:t>dsorbent ratio (usually higher than 1:3, frequently higher than 1:2</w:t>
      </w:r>
      <w:r w:rsidR="00900829">
        <w:rPr>
          <w:lang w:val="en-GB"/>
        </w:rPr>
        <w:t>,</w:t>
      </w:r>
      <w:r w:rsidR="00157ED2" w:rsidRPr="00157ED2">
        <w:rPr>
          <w:lang w:val="en-GB"/>
        </w:rPr>
        <w:t xml:space="preserve"> and even 1:1)</w:t>
      </w:r>
      <w:r w:rsidR="003F3CCE">
        <w:rPr>
          <w:lang w:val="en-GB"/>
        </w:rPr>
        <w:t>.</w:t>
      </w:r>
      <w:r w:rsidR="00157ED2" w:rsidRPr="00157ED2">
        <w:rPr>
          <w:lang w:val="en-GB"/>
        </w:rPr>
        <w:t xml:space="preserve"> </w:t>
      </w:r>
      <w:r w:rsidR="003F3CCE">
        <w:rPr>
          <w:lang w:val="en-GB"/>
        </w:rPr>
        <w:t>L</w:t>
      </w:r>
      <w:r w:rsidR="00157ED2" w:rsidRPr="00157ED2">
        <w:rPr>
          <w:lang w:val="en-GB"/>
        </w:rPr>
        <w:t>ong processes</w:t>
      </w:r>
      <w:r w:rsidR="001D44E3">
        <w:rPr>
          <w:lang w:val="en-GB"/>
        </w:rPr>
        <w:t>,</w:t>
      </w:r>
      <w:r w:rsidR="00157ED2" w:rsidRPr="00157ED2">
        <w:rPr>
          <w:lang w:val="en-GB"/>
        </w:rPr>
        <w:t xml:space="preserve"> high </w:t>
      </w:r>
      <w:proofErr w:type="gramStart"/>
      <w:r w:rsidR="00157ED2" w:rsidRPr="00157ED2">
        <w:rPr>
          <w:lang w:val="en-GB"/>
        </w:rPr>
        <w:t>pressure</w:t>
      </w:r>
      <w:proofErr w:type="gramEnd"/>
      <w:r w:rsidR="00157ED2" w:rsidRPr="00157ED2">
        <w:rPr>
          <w:lang w:val="en-GB"/>
        </w:rPr>
        <w:t xml:space="preserve"> </w:t>
      </w:r>
      <w:r w:rsidR="001D44E3">
        <w:rPr>
          <w:lang w:val="en-GB"/>
        </w:rPr>
        <w:t xml:space="preserve">and agglomerates </w:t>
      </w:r>
      <w:r w:rsidR="004F77A1">
        <w:rPr>
          <w:lang w:val="en-GB"/>
        </w:rPr>
        <w:t>(</w:t>
      </w:r>
      <w:r w:rsidR="004F77A1" w:rsidRPr="00157ED2">
        <w:rPr>
          <w:lang w:val="en-GB"/>
        </w:rPr>
        <w:t>namely crosslinking agents</w:t>
      </w:r>
      <w:r w:rsidR="004F77A1">
        <w:rPr>
          <w:lang w:val="en-GB"/>
        </w:rPr>
        <w:t xml:space="preserve">) </w:t>
      </w:r>
      <w:r w:rsidR="001D44E3">
        <w:rPr>
          <w:lang w:val="en-GB"/>
        </w:rPr>
        <w:t xml:space="preserve">are </w:t>
      </w:r>
      <w:r w:rsidR="004F77A1">
        <w:rPr>
          <w:lang w:val="en-GB"/>
        </w:rPr>
        <w:t xml:space="preserve">frequently </w:t>
      </w:r>
      <w:r w:rsidR="001D44E3">
        <w:rPr>
          <w:lang w:val="en-GB"/>
        </w:rPr>
        <w:t xml:space="preserve">required </w:t>
      </w:r>
      <w:r w:rsidR="00157ED2" w:rsidRPr="00157ED2">
        <w:rPr>
          <w:lang w:val="en-GB"/>
        </w:rPr>
        <w:t xml:space="preserve">to obtain the </w:t>
      </w:r>
      <w:r w:rsidR="003F3CCE">
        <w:rPr>
          <w:lang w:val="en-GB"/>
        </w:rPr>
        <w:t xml:space="preserve">agglomerated </w:t>
      </w:r>
      <w:r w:rsidR="00157ED2" w:rsidRPr="00157ED2">
        <w:rPr>
          <w:lang w:val="en-GB"/>
        </w:rPr>
        <w:t>gra</w:t>
      </w:r>
      <w:r w:rsidR="007559F7">
        <w:rPr>
          <w:lang w:val="en-GB"/>
        </w:rPr>
        <w:t>ins</w:t>
      </w:r>
      <w:r w:rsidR="00157ED2" w:rsidRPr="00157ED2">
        <w:rPr>
          <w:lang w:val="en-GB"/>
        </w:rPr>
        <w:t>.</w:t>
      </w:r>
      <w:r w:rsidR="003F3CCE">
        <w:rPr>
          <w:lang w:val="en-GB"/>
        </w:rPr>
        <w:t xml:space="preserve"> T</w:t>
      </w:r>
      <w:r w:rsidR="00157ED2" w:rsidRPr="00157ED2">
        <w:rPr>
          <w:lang w:val="en-GB"/>
        </w:rPr>
        <w:t>hese binders</w:t>
      </w:r>
      <w:r w:rsidR="003F3CCE">
        <w:rPr>
          <w:lang w:val="en-GB"/>
        </w:rPr>
        <w:t xml:space="preserve"> can be</w:t>
      </w:r>
      <w:r w:rsidR="00157ED2" w:rsidRPr="00157ED2">
        <w:rPr>
          <w:lang w:val="en-GB"/>
        </w:rPr>
        <w:t xml:space="preserve"> of natural origin (e.g.</w:t>
      </w:r>
      <w:r w:rsidR="00900829">
        <w:rPr>
          <w:lang w:val="en-GB"/>
        </w:rPr>
        <w:t>,</w:t>
      </w:r>
      <w:r w:rsidR="00157ED2" w:rsidRPr="00157ED2">
        <w:rPr>
          <w:lang w:val="en-GB"/>
        </w:rPr>
        <w:t xml:space="preserve"> </w:t>
      </w:r>
      <w:r w:rsidR="00C72B7A" w:rsidRPr="00C72B7A">
        <w:rPr>
          <w:lang w:val="en-GB"/>
        </w:rPr>
        <w:t>starch</w:t>
      </w:r>
      <w:r w:rsidR="00C72B7A">
        <w:rPr>
          <w:lang w:val="en-GB"/>
        </w:rPr>
        <w:t>, clay</w:t>
      </w:r>
      <w:r w:rsidR="00157ED2" w:rsidRPr="00157ED2">
        <w:rPr>
          <w:lang w:val="en-GB"/>
        </w:rPr>
        <w:t xml:space="preserve">) </w:t>
      </w:r>
      <w:r w:rsidR="003F3CCE">
        <w:rPr>
          <w:lang w:val="en-GB"/>
        </w:rPr>
        <w:t>or</w:t>
      </w:r>
      <w:r w:rsidR="00157ED2" w:rsidRPr="00157ED2">
        <w:rPr>
          <w:lang w:val="en-GB"/>
        </w:rPr>
        <w:t xml:space="preserve"> synthetic origin (e.g.</w:t>
      </w:r>
      <w:r w:rsidR="00900829">
        <w:rPr>
          <w:lang w:val="en-GB"/>
        </w:rPr>
        <w:t>,</w:t>
      </w:r>
      <w:r w:rsidR="00C72B7A">
        <w:rPr>
          <w:lang w:val="en-GB"/>
        </w:rPr>
        <w:t xml:space="preserve"> synthetic polymers, tar</w:t>
      </w:r>
      <w:r w:rsidR="00157ED2" w:rsidRPr="00157ED2">
        <w:rPr>
          <w:lang w:val="en-GB"/>
        </w:rPr>
        <w:t>)</w:t>
      </w:r>
      <w:r w:rsidR="004F77A1">
        <w:rPr>
          <w:lang w:val="en-GB"/>
        </w:rPr>
        <w:t>.</w:t>
      </w:r>
    </w:p>
    <w:p w14:paraId="2969EC17" w14:textId="0A46B5C7" w:rsidR="00240CD2" w:rsidRPr="00C72B7A" w:rsidRDefault="004F77A1" w:rsidP="00600535">
      <w:pPr>
        <w:pStyle w:val="CETBodytext"/>
        <w:rPr>
          <w:lang w:val="en-GB"/>
        </w:rPr>
      </w:pPr>
      <w:r>
        <w:rPr>
          <w:lang w:val="en-GB"/>
        </w:rPr>
        <w:t xml:space="preserve">The aim of this study was to obtain a process to agglomerate and stabilize oxide doped </w:t>
      </w:r>
      <w:proofErr w:type="spellStart"/>
      <w:r>
        <w:rPr>
          <w:lang w:val="en-GB"/>
        </w:rPr>
        <w:t>hydrochar</w:t>
      </w:r>
      <w:proofErr w:type="spellEnd"/>
      <w:r>
        <w:rPr>
          <w:lang w:val="en-GB"/>
        </w:rPr>
        <w:t>,</w:t>
      </w:r>
      <w:r w:rsidR="003221BB">
        <w:rPr>
          <w:lang w:val="en-GB"/>
        </w:rPr>
        <w:t xml:space="preserve"> </w:t>
      </w:r>
      <w:r>
        <w:rPr>
          <w:lang w:val="en-GB"/>
        </w:rPr>
        <w:t xml:space="preserve">which could be environmentally and economically sustainable for application at </w:t>
      </w:r>
      <w:r w:rsidR="00900829">
        <w:rPr>
          <w:lang w:val="en-GB"/>
        </w:rPr>
        <w:t xml:space="preserve">an </w:t>
      </w:r>
      <w:r>
        <w:rPr>
          <w:lang w:val="en-GB"/>
        </w:rPr>
        <w:t xml:space="preserve">industrial </w:t>
      </w:r>
      <w:r w:rsidR="003F3CCE">
        <w:rPr>
          <w:lang w:val="en-GB"/>
        </w:rPr>
        <w:t>scale</w:t>
      </w:r>
      <w:r>
        <w:rPr>
          <w:lang w:val="en-GB"/>
        </w:rPr>
        <w:t xml:space="preserve"> </w:t>
      </w:r>
      <w:r w:rsidR="003F3CCE">
        <w:rPr>
          <w:lang w:val="en-GB"/>
        </w:rPr>
        <w:t>for</w:t>
      </w:r>
      <w:r>
        <w:rPr>
          <w:lang w:val="en-GB"/>
        </w:rPr>
        <w:t xml:space="preserve"> producing an innovative adsorbent material for </w:t>
      </w:r>
      <w:r w:rsidR="00175D72">
        <w:rPr>
          <w:lang w:val="en-GB"/>
        </w:rPr>
        <w:t>As</w:t>
      </w:r>
      <w:r w:rsidR="003F3CCE">
        <w:rPr>
          <w:lang w:val="en-GB"/>
        </w:rPr>
        <w:t>,</w:t>
      </w:r>
      <w:r>
        <w:rPr>
          <w:lang w:val="en-GB"/>
        </w:rPr>
        <w:t xml:space="preserve"> to replace conventional GFO.</w:t>
      </w:r>
    </w:p>
    <w:p w14:paraId="5F9302A6" w14:textId="77777777" w:rsidR="00374EAA" w:rsidRDefault="00374EAA" w:rsidP="00374EAA">
      <w:pPr>
        <w:pStyle w:val="CETHeading1"/>
      </w:pPr>
      <w:r>
        <w:t>Experimental</w:t>
      </w:r>
    </w:p>
    <w:p w14:paraId="25D98168" w14:textId="77777777" w:rsidR="00374EAA" w:rsidRPr="006C1C8C" w:rsidRDefault="00D60821" w:rsidP="00C112C5">
      <w:pPr>
        <w:pStyle w:val="CETheadingx"/>
      </w:pPr>
      <w:r w:rsidRPr="006C1C8C">
        <w:t>Materials</w:t>
      </w:r>
    </w:p>
    <w:p w14:paraId="24464A39" w14:textId="4B9154B6" w:rsidR="008C0CD9" w:rsidRDefault="00E45210" w:rsidP="00720792">
      <w:pPr>
        <w:pStyle w:val="CETBodytext"/>
        <w:suppressLineNumbers/>
      </w:pPr>
      <w:r>
        <w:t>A</w:t>
      </w:r>
      <w:r w:rsidRPr="00E45210">
        <w:t xml:space="preserve">ll </w:t>
      </w:r>
      <w:r w:rsidR="00B16AAE">
        <w:t>chemicals</w:t>
      </w:r>
      <w:r w:rsidRPr="00E45210">
        <w:t xml:space="preserve"> are commercially avail</w:t>
      </w:r>
      <w:r w:rsidRPr="005746F4">
        <w:t>able and were used as received</w:t>
      </w:r>
      <w:r w:rsidR="00E86521" w:rsidRPr="005746F4">
        <w:t xml:space="preserve">. </w:t>
      </w:r>
      <w:r w:rsidR="0000105F" w:rsidRPr="005746F4">
        <w:t>Sodium alginat</w:t>
      </w:r>
      <w:r w:rsidR="00E86521" w:rsidRPr="005746F4">
        <w:t>e</w:t>
      </w:r>
      <w:r w:rsidR="006B482F">
        <w:t>, SA</w:t>
      </w:r>
      <w:r w:rsidR="0000105F" w:rsidRPr="005746F4">
        <w:t xml:space="preserve"> </w:t>
      </w:r>
      <w:r w:rsidR="00E86521" w:rsidRPr="005746F4">
        <w:t>(</w:t>
      </w:r>
      <w:r w:rsidR="00BE5BF3" w:rsidRPr="005746F4">
        <w:t>Technical grade,</w:t>
      </w:r>
      <w:r w:rsidR="00B64355">
        <w:t xml:space="preserve"> </w:t>
      </w:r>
      <w:r w:rsidR="00E86521" w:rsidRPr="005746F4">
        <w:t xml:space="preserve">VWR), </w:t>
      </w:r>
      <w:r w:rsidR="0000105F" w:rsidRPr="0065308C">
        <w:t>Carboxymethyl</w:t>
      </w:r>
      <w:r w:rsidR="00E86521" w:rsidRPr="0065308C">
        <w:t xml:space="preserve"> </w:t>
      </w:r>
      <w:r w:rsidR="0000105F" w:rsidRPr="0065308C">
        <w:t>cellulose</w:t>
      </w:r>
      <w:r w:rsidR="006B482F">
        <w:t>, CMC</w:t>
      </w:r>
      <w:r w:rsidR="00BE5BF3" w:rsidRPr="0065308C">
        <w:t xml:space="preserve"> (</w:t>
      </w:r>
      <w:r w:rsidR="0065308C" w:rsidRPr="0065308C">
        <w:t xml:space="preserve">Technical grade, </w:t>
      </w:r>
      <w:proofErr w:type="spellStart"/>
      <w:r w:rsidR="0065308C" w:rsidRPr="0065308C">
        <w:t>Fragon</w:t>
      </w:r>
      <w:proofErr w:type="spellEnd"/>
      <w:r w:rsidR="00BE5BF3" w:rsidRPr="0065308C">
        <w:t>),</w:t>
      </w:r>
      <w:r w:rsidR="00BE5BF3" w:rsidRPr="005746F4">
        <w:t xml:space="preserve"> </w:t>
      </w:r>
      <w:r w:rsidR="0000105F" w:rsidRPr="005746F4">
        <w:t>Chitosa</w:t>
      </w:r>
      <w:r w:rsidR="00BE5BF3" w:rsidRPr="005746F4">
        <w:t>n</w:t>
      </w:r>
      <w:r w:rsidR="006B482F">
        <w:t>, CH</w:t>
      </w:r>
      <w:r w:rsidR="00BE5BF3" w:rsidRPr="005746F4">
        <w:t xml:space="preserve"> (</w:t>
      </w:r>
      <w:r w:rsidR="005746F4" w:rsidRPr="005746F4">
        <w:t>M</w:t>
      </w:r>
      <w:r w:rsidR="00BE5BF3" w:rsidRPr="005746F4">
        <w:t>edi</w:t>
      </w:r>
      <w:r w:rsidR="00BE5BF3" w:rsidRPr="00BE5BF3">
        <w:t>um molecular weight</w:t>
      </w:r>
      <w:r w:rsidR="00BE5BF3">
        <w:t>, Sigma-Aldrich)</w:t>
      </w:r>
      <w:r w:rsidR="005746F4">
        <w:t xml:space="preserve">, </w:t>
      </w:r>
      <w:r w:rsidR="0000105F" w:rsidRPr="00077AAC">
        <w:t>Starc</w:t>
      </w:r>
      <w:r w:rsidR="005746F4" w:rsidRPr="00077AAC">
        <w:t xml:space="preserve">h </w:t>
      </w:r>
      <w:r w:rsidR="00077AAC" w:rsidRPr="00077AAC">
        <w:t>soluble</w:t>
      </w:r>
      <w:r w:rsidR="006B482F">
        <w:t>, ST</w:t>
      </w:r>
      <w:r w:rsidR="00077AAC" w:rsidRPr="00077AAC">
        <w:t xml:space="preserve"> </w:t>
      </w:r>
      <w:r w:rsidR="005746F4" w:rsidRPr="00077AAC">
        <w:t>(</w:t>
      </w:r>
      <w:r w:rsidR="007341C9">
        <w:t>Iso</w:t>
      </w:r>
      <w:r w:rsidR="00077AAC" w:rsidRPr="00077AAC">
        <w:t>, Merck)</w:t>
      </w:r>
      <w:r w:rsidR="005746F4" w:rsidRPr="00077AAC">
        <w:t>,</w:t>
      </w:r>
      <w:r w:rsidR="005746F4">
        <w:t xml:space="preserve"> </w:t>
      </w:r>
      <w:r w:rsidR="0000105F" w:rsidRPr="000A2B2C">
        <w:t>Cement</w:t>
      </w:r>
      <w:r w:rsidR="006B482F">
        <w:t>, CE</w:t>
      </w:r>
      <w:r w:rsidR="005746F4" w:rsidRPr="000A2B2C">
        <w:t xml:space="preserve"> (</w:t>
      </w:r>
      <w:r w:rsidR="000A2B2C" w:rsidRPr="000A2B2C">
        <w:t>S</w:t>
      </w:r>
      <w:r w:rsidR="000A2B2C">
        <w:t>ECIL</w:t>
      </w:r>
      <w:r w:rsidR="005746F4" w:rsidRPr="00A268D4">
        <w:t>)</w:t>
      </w:r>
      <w:r w:rsidR="000A2B2C" w:rsidRPr="00A268D4">
        <w:t xml:space="preserve">, </w:t>
      </w:r>
      <w:r w:rsidR="0000105F" w:rsidRPr="00A268D4">
        <w:t>Clay</w:t>
      </w:r>
      <w:r w:rsidR="006B482F">
        <w:t>, CL</w:t>
      </w:r>
      <w:r w:rsidR="000A2B2C" w:rsidRPr="00A268D4">
        <w:t xml:space="preserve"> (</w:t>
      </w:r>
      <w:r w:rsidR="00A268D4" w:rsidRPr="00A268D4">
        <w:t>Technical grade,</w:t>
      </w:r>
      <w:r w:rsidR="00A268D4">
        <w:t xml:space="preserve"> </w:t>
      </w:r>
      <w:proofErr w:type="spellStart"/>
      <w:r w:rsidR="00A268D4">
        <w:t>Labchem</w:t>
      </w:r>
      <w:proofErr w:type="spellEnd"/>
      <w:r w:rsidR="000A2B2C">
        <w:t xml:space="preserve">), </w:t>
      </w:r>
      <w:r w:rsidR="0000105F" w:rsidRPr="00812D30">
        <w:t>Poly</w:t>
      </w:r>
      <w:r w:rsidR="00130079">
        <w:t>(</w:t>
      </w:r>
      <w:r w:rsidR="0000105F" w:rsidRPr="00812D30">
        <w:t>acrylic acid</w:t>
      </w:r>
      <w:r w:rsidR="00130079">
        <w:t>)</w:t>
      </w:r>
      <w:r w:rsidR="006B482F">
        <w:t>, PAC</w:t>
      </w:r>
      <w:r w:rsidR="00630C2F">
        <w:t xml:space="preserve"> (</w:t>
      </w:r>
      <w:r w:rsidR="00812D30" w:rsidRPr="00812D30">
        <w:t xml:space="preserve">Mw </w:t>
      </w:r>
      <w:r w:rsidR="00812D30">
        <w:t>~</w:t>
      </w:r>
      <w:r w:rsidR="00812D30" w:rsidRPr="00812D30">
        <w:t>1800</w:t>
      </w:r>
      <w:r w:rsidR="00812D30">
        <w:t xml:space="preserve">, </w:t>
      </w:r>
      <w:r w:rsidR="00812D30" w:rsidRPr="00812D30">
        <w:t>Sigma-Aldrich</w:t>
      </w:r>
      <w:r w:rsidR="00630C2F">
        <w:t>)</w:t>
      </w:r>
      <w:r w:rsidR="000A2B2C">
        <w:t xml:space="preserve">, </w:t>
      </w:r>
      <w:r w:rsidR="000A2B2C" w:rsidRPr="000A2B2C">
        <w:t>Poly(vinyl alcohol)</w:t>
      </w:r>
      <w:r w:rsidR="006B482F">
        <w:t>, PVA</w:t>
      </w:r>
      <w:r w:rsidR="000A2B2C">
        <w:t xml:space="preserve"> </w:t>
      </w:r>
      <w:r w:rsidR="000A2B2C" w:rsidRPr="000A2B2C">
        <w:t>(</w:t>
      </w:r>
      <w:r w:rsidR="007C5818" w:rsidRPr="007C5818">
        <w:t>Mw 146,000-186,000, 99</w:t>
      </w:r>
      <w:r w:rsidR="00174C80">
        <w:t xml:space="preserve"> </w:t>
      </w:r>
      <w:r w:rsidR="007C5818" w:rsidRPr="007C5818">
        <w:t>% hydrolyzed</w:t>
      </w:r>
      <w:r w:rsidR="000A2B2C" w:rsidRPr="000A2B2C">
        <w:t>, Sigma-</w:t>
      </w:r>
      <w:r w:rsidR="000A2B2C" w:rsidRPr="007C5818">
        <w:t>Aldrich),</w:t>
      </w:r>
      <w:r w:rsidR="007C5818" w:rsidRPr="007C5818">
        <w:t xml:space="preserve"> </w:t>
      </w:r>
      <w:r w:rsidR="0000105F" w:rsidRPr="007C5818">
        <w:t>Sodium silicate</w:t>
      </w:r>
      <w:r w:rsidR="006B482F">
        <w:t>,</w:t>
      </w:r>
      <w:r w:rsidR="00B64355">
        <w:t xml:space="preserve"> </w:t>
      </w:r>
      <w:r w:rsidR="006B482F">
        <w:t>SS</w:t>
      </w:r>
      <w:r w:rsidR="00B64355">
        <w:t xml:space="preserve"> </w:t>
      </w:r>
      <w:r w:rsidR="007C5818" w:rsidRPr="007C5818">
        <w:t xml:space="preserve">(Technical grade, neutral solution, </w:t>
      </w:r>
      <w:proofErr w:type="spellStart"/>
      <w:r w:rsidR="008A1DB6">
        <w:t>PanReac</w:t>
      </w:r>
      <w:proofErr w:type="spellEnd"/>
      <w:r w:rsidR="007C5818" w:rsidRPr="00077AAC">
        <w:t>),</w:t>
      </w:r>
      <w:r w:rsidR="00436ECB">
        <w:t xml:space="preserve"> </w:t>
      </w:r>
      <w:r w:rsidR="00077AAC" w:rsidRPr="00077AAC">
        <w:t>Vegetal</w:t>
      </w:r>
      <w:r w:rsidR="00436ECB">
        <w:t xml:space="preserve"> </w:t>
      </w:r>
      <w:r w:rsidR="00FB5BE3">
        <w:t>C</w:t>
      </w:r>
      <w:r w:rsidR="00077AAC" w:rsidRPr="00077AAC">
        <w:t xml:space="preserve">harcoal </w:t>
      </w:r>
      <w:r w:rsidR="00FB5BE3">
        <w:t>A</w:t>
      </w:r>
      <w:r w:rsidR="00077AAC" w:rsidRPr="00077AAC">
        <w:t>ctivated</w:t>
      </w:r>
      <w:r w:rsidR="00D226C1">
        <w:t xml:space="preserve">, </w:t>
      </w:r>
      <w:r w:rsidR="00FB5BE3">
        <w:t>VCA</w:t>
      </w:r>
      <w:r w:rsidR="00077AAC" w:rsidRPr="00077AAC">
        <w:t xml:space="preserve"> (Analytical reagent, VWR)</w:t>
      </w:r>
      <w:r w:rsidR="003D5E58">
        <w:t>.</w:t>
      </w:r>
      <w:r w:rsidR="00C050A1">
        <w:t xml:space="preserve"> </w:t>
      </w:r>
      <w:r w:rsidR="00247B93" w:rsidRPr="00247B93">
        <w:t xml:space="preserve">Olive pomace (OP) was collected from a continuous three-phase olive oil mill plant at Rocca </w:t>
      </w:r>
      <w:proofErr w:type="spellStart"/>
      <w:r w:rsidR="00247B93" w:rsidRPr="00247B93">
        <w:t>Massima</w:t>
      </w:r>
      <w:proofErr w:type="spellEnd"/>
      <w:r w:rsidR="00247B93" w:rsidRPr="00247B93">
        <w:t xml:space="preserve"> (Italy)</w:t>
      </w:r>
      <w:r w:rsidR="00247B93">
        <w:t>. It</w:t>
      </w:r>
      <w:r w:rsidR="00247B93" w:rsidRPr="00247B93">
        <w:t xml:space="preserve"> was dried at 60 °C until constant weight, manually ground and sieved to remove particles &gt;1 mm</w:t>
      </w:r>
      <w:r w:rsidR="00247B93">
        <w:t xml:space="preserve"> (</w:t>
      </w:r>
      <w:r w:rsidR="00247B93" w:rsidRPr="00247B93">
        <w:t>olive stones and leaves</w:t>
      </w:r>
      <w:r w:rsidR="00247B93">
        <w:t>)</w:t>
      </w:r>
      <w:r w:rsidR="00247B93" w:rsidRPr="00247B93">
        <w:t>. H</w:t>
      </w:r>
      <w:r w:rsidR="00247B93" w:rsidRPr="00E1580F">
        <w:rPr>
          <w:vertAlign w:val="subscript"/>
        </w:rPr>
        <w:t>2</w:t>
      </w:r>
      <w:r w:rsidR="00247B93" w:rsidRPr="00247B93">
        <w:t>SO</w:t>
      </w:r>
      <w:r w:rsidR="00247B93" w:rsidRPr="008A1DB6">
        <w:rPr>
          <w:vertAlign w:val="subscript"/>
        </w:rPr>
        <w:t>4</w:t>
      </w:r>
      <w:r w:rsidR="00247B93" w:rsidRPr="00247B93">
        <w:t xml:space="preserve"> (9</w:t>
      </w:r>
      <w:r w:rsidR="009D266E">
        <w:t>6</w:t>
      </w:r>
      <w:r w:rsidR="00174C80">
        <w:t xml:space="preserve"> </w:t>
      </w:r>
      <w:r w:rsidR="00247B93" w:rsidRPr="00247B93">
        <w:t xml:space="preserve">%), </w:t>
      </w:r>
      <w:r w:rsidR="009D266E">
        <w:t>FeCl</w:t>
      </w:r>
      <w:r w:rsidR="009D266E" w:rsidRPr="008A1DB6">
        <w:rPr>
          <w:vertAlign w:val="subscript"/>
        </w:rPr>
        <w:t>3</w:t>
      </w:r>
      <w:r w:rsidR="009D266E">
        <w:t>∙6H</w:t>
      </w:r>
      <w:r w:rsidR="009D266E" w:rsidRPr="008A1DB6">
        <w:rPr>
          <w:vertAlign w:val="subscript"/>
        </w:rPr>
        <w:t>2</w:t>
      </w:r>
      <w:r w:rsidR="009D266E">
        <w:t>O (99</w:t>
      </w:r>
      <w:r w:rsidR="00174C80">
        <w:t xml:space="preserve"> </w:t>
      </w:r>
      <w:r w:rsidR="009D266E">
        <w:t xml:space="preserve">%), </w:t>
      </w:r>
      <w:r w:rsidR="00D91136" w:rsidRPr="00D91136">
        <w:t>FeSO</w:t>
      </w:r>
      <w:r w:rsidR="00D91136" w:rsidRPr="008A1DB6">
        <w:rPr>
          <w:vertAlign w:val="subscript"/>
        </w:rPr>
        <w:t>4</w:t>
      </w:r>
      <w:r w:rsidR="00D91136" w:rsidRPr="00D91136">
        <w:t>∙7H</w:t>
      </w:r>
      <w:r w:rsidR="00D91136" w:rsidRPr="008A1DB6">
        <w:rPr>
          <w:vertAlign w:val="subscript"/>
        </w:rPr>
        <w:t>2</w:t>
      </w:r>
      <w:r w:rsidR="00D91136" w:rsidRPr="00D91136">
        <w:t>O</w:t>
      </w:r>
      <w:r w:rsidR="00D91136">
        <w:t xml:space="preserve"> (99</w:t>
      </w:r>
      <w:r w:rsidR="00174C80">
        <w:t xml:space="preserve"> </w:t>
      </w:r>
      <w:r w:rsidR="00D91136">
        <w:t xml:space="preserve">%), </w:t>
      </w:r>
      <w:r w:rsidR="00247B93">
        <w:t>K</w:t>
      </w:r>
      <w:r w:rsidR="00247B93" w:rsidRPr="00247B93">
        <w:t>OH (</w:t>
      </w:r>
      <w:r w:rsidR="00667AEB">
        <w:t>99</w:t>
      </w:r>
      <w:r w:rsidR="00174C80">
        <w:t xml:space="preserve"> </w:t>
      </w:r>
      <w:r w:rsidR="00667AEB">
        <w:t>%</w:t>
      </w:r>
      <w:r w:rsidR="00247B93" w:rsidRPr="00247B93">
        <w:t>)</w:t>
      </w:r>
      <w:r w:rsidR="00436ECB">
        <w:t xml:space="preserve"> </w:t>
      </w:r>
      <w:r w:rsidR="00247B93" w:rsidRPr="00247B93">
        <w:t>and</w:t>
      </w:r>
      <w:r w:rsidR="00436ECB">
        <w:t xml:space="preserve"> </w:t>
      </w:r>
      <w:r w:rsidR="00247B93" w:rsidRPr="00247B93">
        <w:t>KH</w:t>
      </w:r>
      <w:r w:rsidR="00247B93" w:rsidRPr="008A1DB6">
        <w:rPr>
          <w:vertAlign w:val="subscript"/>
        </w:rPr>
        <w:t>2</w:t>
      </w:r>
      <w:r w:rsidR="00247B93" w:rsidRPr="00247B93">
        <w:t>AsO</w:t>
      </w:r>
      <w:r w:rsidR="00247B93" w:rsidRPr="008A1DB6">
        <w:rPr>
          <w:vertAlign w:val="subscript"/>
        </w:rPr>
        <w:t>4</w:t>
      </w:r>
      <w:r w:rsidR="00247B93" w:rsidRPr="00247B93">
        <w:t xml:space="preserve"> (98–102</w:t>
      </w:r>
      <w:r w:rsidR="00174C80">
        <w:t xml:space="preserve"> </w:t>
      </w:r>
      <w:r w:rsidR="00247B93" w:rsidRPr="00247B93">
        <w:t xml:space="preserve">%, A6631) were </w:t>
      </w:r>
      <w:r w:rsidR="00247B93">
        <w:t xml:space="preserve">all </w:t>
      </w:r>
      <w:r w:rsidR="00247B93" w:rsidRPr="00247B93">
        <w:t>purchased from Sigma Aldrich.</w:t>
      </w:r>
    </w:p>
    <w:p w14:paraId="379A4593" w14:textId="77777777" w:rsidR="00D60821" w:rsidRPr="00D60821" w:rsidRDefault="00016719" w:rsidP="00C112C5">
      <w:pPr>
        <w:pStyle w:val="CETheadingx"/>
      </w:pPr>
      <w:r w:rsidRPr="004F3BDD">
        <w:t xml:space="preserve">Iron </w:t>
      </w:r>
      <w:r>
        <w:t>o</w:t>
      </w:r>
      <w:r w:rsidRPr="004F3BDD">
        <w:t xml:space="preserve">xide </w:t>
      </w:r>
      <w:r>
        <w:t>d</w:t>
      </w:r>
      <w:r w:rsidRPr="004F3BDD">
        <w:t xml:space="preserve">oped </w:t>
      </w:r>
      <w:proofErr w:type="spellStart"/>
      <w:r w:rsidRPr="004F3BDD">
        <w:t>Hydrochar</w:t>
      </w:r>
      <w:proofErr w:type="spellEnd"/>
      <w:r w:rsidRPr="004F3BDD">
        <w:t xml:space="preserve"> (IH) </w:t>
      </w:r>
      <w:r>
        <w:t>synthesis</w:t>
      </w:r>
    </w:p>
    <w:p w14:paraId="346BDC37" w14:textId="5021901E" w:rsidR="00941C8B" w:rsidRDefault="00016719" w:rsidP="00BB04AD">
      <w:pPr>
        <w:pStyle w:val="CETBodytext"/>
        <w:rPr>
          <w:lang w:val="en-GB"/>
        </w:rPr>
      </w:pPr>
      <w:r>
        <w:rPr>
          <w:lang w:val="en-GB"/>
        </w:rPr>
        <w:t xml:space="preserve">IH </w:t>
      </w:r>
      <w:r w:rsidR="00BB04AD" w:rsidRPr="008F573D">
        <w:rPr>
          <w:lang w:val="en-GB"/>
        </w:rPr>
        <w:t xml:space="preserve">was </w:t>
      </w:r>
      <w:r w:rsidR="00D91136">
        <w:rPr>
          <w:lang w:val="en-GB"/>
        </w:rPr>
        <w:t>prepared</w:t>
      </w:r>
      <w:r w:rsidR="00BB04AD" w:rsidRPr="008F573D">
        <w:rPr>
          <w:lang w:val="en-GB"/>
        </w:rPr>
        <w:t xml:space="preserve"> </w:t>
      </w:r>
      <w:r w:rsidR="009D266E">
        <w:rPr>
          <w:lang w:val="en-GB"/>
        </w:rPr>
        <w:t>as follows: 5.0 g of olive pomace were added inside</w:t>
      </w:r>
      <w:r w:rsidR="009D266E" w:rsidRPr="009D266E">
        <w:rPr>
          <w:lang w:val="en-GB"/>
        </w:rPr>
        <w:t xml:space="preserve"> 100 mL polytetrafluoroethylene (PTFE) vessel</w:t>
      </w:r>
      <w:r w:rsidR="009D266E">
        <w:rPr>
          <w:lang w:val="en-GB"/>
        </w:rPr>
        <w:t>, with 20 mL feedwater solution (</w:t>
      </w:r>
      <w:r w:rsidR="009D266E">
        <w:t>FeCl</w:t>
      </w:r>
      <w:r w:rsidR="009D266E" w:rsidRPr="004F3BDD">
        <w:rPr>
          <w:vertAlign w:val="subscript"/>
        </w:rPr>
        <w:t>3</w:t>
      </w:r>
      <w:r w:rsidR="009D266E">
        <w:t>∙6H</w:t>
      </w:r>
      <w:r w:rsidR="009D266E" w:rsidRPr="004F3BDD">
        <w:rPr>
          <w:vertAlign w:val="subscript"/>
        </w:rPr>
        <w:t>2</w:t>
      </w:r>
      <w:r w:rsidR="009D266E">
        <w:t xml:space="preserve">O </w:t>
      </w:r>
      <w:r w:rsidR="00F3612C">
        <w:t>22.0 g</w:t>
      </w:r>
      <w:r w:rsidR="00693191">
        <w:t xml:space="preserve"> </w:t>
      </w:r>
      <w:r w:rsidR="00F3612C">
        <w:t>L</w:t>
      </w:r>
      <w:r w:rsidR="00693191" w:rsidRPr="00CF4E64">
        <w:rPr>
          <w:vertAlign w:val="superscript"/>
        </w:rPr>
        <w:t>-1</w:t>
      </w:r>
      <w:r w:rsidR="009D266E">
        <w:t xml:space="preserve">, </w:t>
      </w:r>
      <w:r w:rsidR="009D266E" w:rsidRPr="00D91136">
        <w:t>FeSO</w:t>
      </w:r>
      <w:r w:rsidR="009D266E" w:rsidRPr="004F3BDD">
        <w:rPr>
          <w:vertAlign w:val="subscript"/>
        </w:rPr>
        <w:t>4</w:t>
      </w:r>
      <w:r w:rsidR="009D266E" w:rsidRPr="00D91136">
        <w:t>∙7H</w:t>
      </w:r>
      <w:r w:rsidR="009D266E" w:rsidRPr="004F3BDD">
        <w:rPr>
          <w:vertAlign w:val="subscript"/>
        </w:rPr>
        <w:t>2</w:t>
      </w:r>
      <w:r w:rsidR="009D266E" w:rsidRPr="00D91136">
        <w:t>O</w:t>
      </w:r>
      <w:r w:rsidR="00F3612C">
        <w:t xml:space="preserve"> 15.4 g</w:t>
      </w:r>
      <w:r w:rsidR="00C23A7E">
        <w:t xml:space="preserve"> </w:t>
      </w:r>
      <w:r w:rsidR="00F3612C">
        <w:t>L</w:t>
      </w:r>
      <w:r w:rsidR="00CC4F80" w:rsidRPr="002B4FC5">
        <w:rPr>
          <w:vertAlign w:val="superscript"/>
        </w:rPr>
        <w:t>-1</w:t>
      </w:r>
      <w:r w:rsidR="00F3612C">
        <w:t>, pH 0.5 adjusted with H</w:t>
      </w:r>
      <w:r w:rsidR="00F3612C" w:rsidRPr="008F573D">
        <w:rPr>
          <w:vertAlign w:val="subscript"/>
        </w:rPr>
        <w:t>2</w:t>
      </w:r>
      <w:r w:rsidR="00F3612C">
        <w:t>SO</w:t>
      </w:r>
      <w:r w:rsidR="00F3612C" w:rsidRPr="008F573D">
        <w:rPr>
          <w:vertAlign w:val="subscript"/>
        </w:rPr>
        <w:t>4</w:t>
      </w:r>
      <w:r w:rsidR="009D266E">
        <w:rPr>
          <w:lang w:val="en-GB"/>
        </w:rPr>
        <w:t>).</w:t>
      </w:r>
      <w:r w:rsidR="00B64355">
        <w:rPr>
          <w:lang w:val="en-GB"/>
        </w:rPr>
        <w:t xml:space="preserve"> </w:t>
      </w:r>
      <w:r w:rsidR="00F3612C">
        <w:rPr>
          <w:lang w:val="en-GB"/>
        </w:rPr>
        <w:t>HTC was performed for 30 min at 200 °C by microwave heating (</w:t>
      </w:r>
      <w:r w:rsidR="00F3612C" w:rsidRPr="00F3612C">
        <w:rPr>
          <w:lang w:val="en-GB"/>
        </w:rPr>
        <w:t xml:space="preserve">Milestone Laboratory System </w:t>
      </w:r>
      <w:proofErr w:type="spellStart"/>
      <w:r w:rsidR="00F3612C" w:rsidRPr="00F3612C">
        <w:rPr>
          <w:lang w:val="en-GB"/>
        </w:rPr>
        <w:t>Labstation</w:t>
      </w:r>
      <w:proofErr w:type="spellEnd"/>
      <w:r w:rsidR="00F3612C">
        <w:rPr>
          <w:lang w:val="en-GB"/>
        </w:rPr>
        <w:t>). After cooling, the suspension was moved inside a 100 mL glass reactor under N</w:t>
      </w:r>
      <w:r w:rsidR="00F3612C" w:rsidRPr="008F573D">
        <w:rPr>
          <w:vertAlign w:val="subscript"/>
          <w:lang w:val="en-GB"/>
        </w:rPr>
        <w:t>2</w:t>
      </w:r>
      <w:r w:rsidR="00F3612C">
        <w:rPr>
          <w:lang w:val="en-GB"/>
        </w:rPr>
        <w:t xml:space="preserve"> flow, at 80 °C under magnetic stirring. After 30 min, </w:t>
      </w:r>
      <w:r>
        <w:rPr>
          <w:lang w:val="en-GB"/>
        </w:rPr>
        <w:t>4 mL KOH (6.4 M) were added dropwise. The suspension was then vacuum filtered throughout paper filters and dried at 105 °C till constant weight.</w:t>
      </w:r>
      <w:r w:rsidR="000A5D60">
        <w:rPr>
          <w:lang w:val="en-GB"/>
        </w:rPr>
        <w:t xml:space="preserve"> Yield for I</w:t>
      </w:r>
      <w:r w:rsidR="00913DB8">
        <w:rPr>
          <w:lang w:val="en-GB"/>
        </w:rPr>
        <w:t>H</w:t>
      </w:r>
      <w:r w:rsidR="000A5D60">
        <w:rPr>
          <w:lang w:val="en-GB"/>
        </w:rPr>
        <w:t xml:space="preserve"> production and Fe doping were determined by measuring the final amount of I</w:t>
      </w:r>
      <w:r w:rsidR="00913DB8">
        <w:rPr>
          <w:lang w:val="en-GB"/>
        </w:rPr>
        <w:t>H</w:t>
      </w:r>
      <w:r w:rsidR="000A5D60">
        <w:rPr>
          <w:lang w:val="en-GB"/>
        </w:rPr>
        <w:t xml:space="preserve"> and its Fe content, as described in a previous work (Di Caprio et al. 2022). </w:t>
      </w:r>
    </w:p>
    <w:p w14:paraId="78FF4B32" w14:textId="1448447E" w:rsidR="00B80741" w:rsidRDefault="002D39AD" w:rsidP="002B4FC5">
      <w:pPr>
        <w:pStyle w:val="CETheadingx"/>
      </w:pPr>
      <w:r>
        <w:t>Granulation and activation</w:t>
      </w:r>
      <w:r w:rsidR="00B64355">
        <w:t>:</w:t>
      </w:r>
      <w:r>
        <w:t xml:space="preserve"> </w:t>
      </w:r>
      <w:r w:rsidR="00B64355">
        <w:t>c</w:t>
      </w:r>
      <w:r w:rsidRPr="002D39AD">
        <w:t>omparison between different binders</w:t>
      </w:r>
    </w:p>
    <w:p w14:paraId="69E9A9B9" w14:textId="476884AB" w:rsidR="00FD7EA5" w:rsidRDefault="002D39AD" w:rsidP="00374EAA">
      <w:pPr>
        <w:pStyle w:val="CETBodytext"/>
        <w:rPr>
          <w:lang w:val="en-GB"/>
        </w:rPr>
      </w:pPr>
      <w:r>
        <w:rPr>
          <w:lang w:val="en-GB"/>
        </w:rPr>
        <w:t>G</w:t>
      </w:r>
      <w:r w:rsidR="00FD7EA5">
        <w:rPr>
          <w:lang w:val="en-GB"/>
        </w:rPr>
        <w:t xml:space="preserve">ranulation was performed </w:t>
      </w:r>
      <w:r w:rsidR="00A0006E" w:rsidRPr="00A0006E">
        <w:rPr>
          <w:lang w:val="en-GB"/>
        </w:rPr>
        <w:t xml:space="preserve">manually with the use of a plastic container in which the </w:t>
      </w:r>
      <w:r w:rsidR="00A0006E">
        <w:rPr>
          <w:lang w:val="en-GB"/>
        </w:rPr>
        <w:t>VCA</w:t>
      </w:r>
      <w:r w:rsidR="00A0006E" w:rsidRPr="00A0006E">
        <w:rPr>
          <w:lang w:val="en-GB"/>
        </w:rPr>
        <w:t xml:space="preserve"> powder </w:t>
      </w:r>
      <w:r w:rsidR="00923BFB">
        <w:rPr>
          <w:lang w:val="en-GB"/>
        </w:rPr>
        <w:t>(~</w:t>
      </w:r>
      <w:r w:rsidR="00E059E0">
        <w:rPr>
          <w:lang w:val="en-GB"/>
        </w:rPr>
        <w:t xml:space="preserve"> </w:t>
      </w:r>
      <w:r w:rsidR="00923BFB">
        <w:rPr>
          <w:lang w:val="en-GB"/>
        </w:rPr>
        <w:t xml:space="preserve">1 g) </w:t>
      </w:r>
      <w:r w:rsidR="00A0006E" w:rsidRPr="00A0006E">
        <w:rPr>
          <w:lang w:val="en-GB"/>
        </w:rPr>
        <w:t xml:space="preserve">was dispersed and </w:t>
      </w:r>
      <w:r w:rsidR="00923BFB">
        <w:rPr>
          <w:lang w:val="en-GB"/>
        </w:rPr>
        <w:t>over which 15</w:t>
      </w:r>
      <w:r w:rsidR="00F71586">
        <w:rPr>
          <w:lang w:val="en-GB"/>
        </w:rPr>
        <w:t>, 10</w:t>
      </w:r>
      <w:r w:rsidR="00923BFB">
        <w:rPr>
          <w:lang w:val="en-GB"/>
        </w:rPr>
        <w:t xml:space="preserve">, 33, 15, 10, 33, 33, 50, 16 </w:t>
      </w:r>
      <w:r w:rsidR="00F71586">
        <w:rPr>
          <w:lang w:val="en-GB"/>
        </w:rPr>
        <w:t xml:space="preserve">% </w:t>
      </w:r>
      <w:r w:rsidR="00E059E0">
        <w:rPr>
          <w:lang w:val="en-GB"/>
        </w:rPr>
        <w:t xml:space="preserve">(Binder mass </w:t>
      </w:r>
      <w:r w:rsidR="00E059E0">
        <w:rPr>
          <w:rFonts w:cs="Arial"/>
          <w:lang w:val="en-GB"/>
        </w:rPr>
        <w:t>∙</w:t>
      </w:r>
      <w:r w:rsidR="00E059E0">
        <w:rPr>
          <w:lang w:val="en-GB"/>
        </w:rPr>
        <w:t xml:space="preserve"> VCA mass</w:t>
      </w:r>
      <w:r w:rsidR="00CC4F80" w:rsidRPr="00C112C5">
        <w:rPr>
          <w:vertAlign w:val="superscript"/>
        </w:rPr>
        <w:t>-</w:t>
      </w:r>
      <w:r w:rsidR="00E059E0">
        <w:rPr>
          <w:vertAlign w:val="superscript"/>
          <w:lang w:val="en-GB"/>
        </w:rPr>
        <w:t>1</w:t>
      </w:r>
      <w:r w:rsidR="00E059E0">
        <w:rPr>
          <w:lang w:val="en-GB"/>
        </w:rPr>
        <w:t xml:space="preserve">) of the binders </w:t>
      </w:r>
      <w:r w:rsidR="009E0227">
        <w:rPr>
          <w:lang w:val="en-GB"/>
        </w:rPr>
        <w:t xml:space="preserve">SA, CMC, CH, ST, CE, CL, PAC, PVA and SS </w:t>
      </w:r>
      <w:r w:rsidR="00E059E0">
        <w:rPr>
          <w:lang w:val="en-GB"/>
        </w:rPr>
        <w:t>were added, respectively</w:t>
      </w:r>
      <w:r w:rsidR="008E6279">
        <w:rPr>
          <w:lang w:val="en-GB"/>
        </w:rPr>
        <w:t>, together with</w:t>
      </w:r>
      <w:r w:rsidR="00911426">
        <w:rPr>
          <w:lang w:val="en-GB"/>
        </w:rPr>
        <w:t xml:space="preserve"> </w:t>
      </w:r>
      <w:r w:rsidR="009E0227">
        <w:rPr>
          <w:lang w:val="en-GB"/>
        </w:rPr>
        <w:t xml:space="preserve">enough </w:t>
      </w:r>
      <w:r w:rsidR="00911426">
        <w:rPr>
          <w:lang w:val="en-GB"/>
        </w:rPr>
        <w:t>water</w:t>
      </w:r>
      <w:r w:rsidR="009E0227">
        <w:rPr>
          <w:lang w:val="en-GB"/>
        </w:rPr>
        <w:t xml:space="preserve"> </w:t>
      </w:r>
      <w:r w:rsidR="008E6279">
        <w:rPr>
          <w:lang w:val="en-GB"/>
        </w:rPr>
        <w:t>sprayed</w:t>
      </w:r>
      <w:r w:rsidR="009E0227">
        <w:rPr>
          <w:lang w:val="en-GB"/>
        </w:rPr>
        <w:t xml:space="preserve"> to obtain granulation of the mixture. </w:t>
      </w:r>
      <w:r w:rsidR="00FD7EA5" w:rsidRPr="006E588C">
        <w:rPr>
          <w:lang w:val="en-GB"/>
        </w:rPr>
        <w:t>The</w:t>
      </w:r>
      <w:r w:rsidR="00FD7EA5">
        <w:rPr>
          <w:lang w:val="en-GB"/>
        </w:rPr>
        <w:t>n,</w:t>
      </w:r>
      <w:r w:rsidR="00FD7EA5" w:rsidRPr="006E588C">
        <w:rPr>
          <w:lang w:val="en-GB"/>
        </w:rPr>
        <w:t xml:space="preserve"> </w:t>
      </w:r>
      <w:r w:rsidR="00FD7EA5">
        <w:rPr>
          <w:lang w:val="en-GB"/>
        </w:rPr>
        <w:t>the</w:t>
      </w:r>
      <w:r>
        <w:rPr>
          <w:lang w:val="en-GB"/>
        </w:rPr>
        <w:t xml:space="preserve"> </w:t>
      </w:r>
      <w:r w:rsidR="00FD7EA5" w:rsidRPr="006E588C">
        <w:rPr>
          <w:lang w:val="en-GB"/>
        </w:rPr>
        <w:t xml:space="preserve">granules were submitted to a pre-drying step in an oven at 120 ºC for </w:t>
      </w:r>
      <w:r w:rsidR="00FD7EA5">
        <w:rPr>
          <w:lang w:val="en-GB"/>
        </w:rPr>
        <w:t>at least 24 h</w:t>
      </w:r>
      <w:r w:rsidR="00FD7EA5" w:rsidRPr="006E588C">
        <w:rPr>
          <w:lang w:val="en-GB"/>
        </w:rPr>
        <w:t>.</w:t>
      </w:r>
      <w:r w:rsidR="00FD7EA5">
        <w:rPr>
          <w:lang w:val="en-GB"/>
        </w:rPr>
        <w:t xml:space="preserve"> T</w:t>
      </w:r>
      <w:r w:rsidR="00FD7EA5" w:rsidRPr="005D2392">
        <w:rPr>
          <w:lang w:val="en-GB"/>
        </w:rPr>
        <w:t xml:space="preserve">he granules </w:t>
      </w:r>
      <w:r w:rsidR="00FD7EA5">
        <w:rPr>
          <w:lang w:val="en-GB"/>
        </w:rPr>
        <w:t xml:space="preserve">were </w:t>
      </w:r>
      <w:r>
        <w:rPr>
          <w:lang w:val="en-GB"/>
        </w:rPr>
        <w:t xml:space="preserve">then </w:t>
      </w:r>
      <w:r w:rsidR="00FD7EA5">
        <w:rPr>
          <w:lang w:val="en-GB"/>
        </w:rPr>
        <w:t>activated</w:t>
      </w:r>
      <w:r w:rsidR="00FD7EA5" w:rsidRPr="005D2392">
        <w:rPr>
          <w:lang w:val="en-GB"/>
        </w:rPr>
        <w:t xml:space="preserve"> </w:t>
      </w:r>
      <w:r w:rsidR="00FD7EA5">
        <w:rPr>
          <w:lang w:val="en-GB"/>
        </w:rPr>
        <w:t xml:space="preserve">at </w:t>
      </w:r>
      <w:proofErr w:type="spellStart"/>
      <w:r w:rsidR="00FD7EA5">
        <w:rPr>
          <w:lang w:val="en-GB"/>
        </w:rPr>
        <w:t>T</w:t>
      </w:r>
      <w:r w:rsidR="00FD7EA5" w:rsidRPr="00D97681">
        <w:rPr>
          <w:vertAlign w:val="subscript"/>
          <w:lang w:val="en-GB"/>
        </w:rPr>
        <w:t>max</w:t>
      </w:r>
      <w:proofErr w:type="spellEnd"/>
      <w:r w:rsidR="00FD7EA5">
        <w:rPr>
          <w:lang w:val="en-GB"/>
        </w:rPr>
        <w:t xml:space="preserve"> 250 °C and 500 °C (10 ºC min</w:t>
      </w:r>
      <w:r w:rsidR="00FD7EA5" w:rsidRPr="00ED76DC">
        <w:rPr>
          <w:vertAlign w:val="superscript"/>
          <w:lang w:val="en-GB"/>
        </w:rPr>
        <w:t>-1</w:t>
      </w:r>
      <w:r w:rsidR="00FD7EA5">
        <w:rPr>
          <w:lang w:val="en-GB"/>
        </w:rPr>
        <w:t xml:space="preserve"> up to </w:t>
      </w:r>
      <w:proofErr w:type="spellStart"/>
      <w:r w:rsidR="00FD7EA5">
        <w:rPr>
          <w:lang w:val="en-GB"/>
        </w:rPr>
        <w:t>T</w:t>
      </w:r>
      <w:r w:rsidR="00FD7EA5" w:rsidRPr="00D97681">
        <w:rPr>
          <w:vertAlign w:val="subscript"/>
          <w:lang w:val="en-GB"/>
        </w:rPr>
        <w:t>max</w:t>
      </w:r>
      <w:proofErr w:type="spellEnd"/>
      <w:r w:rsidR="00FD7EA5">
        <w:rPr>
          <w:lang w:val="en-GB"/>
        </w:rPr>
        <w:t>) under N</w:t>
      </w:r>
      <w:r w:rsidR="00FD7EA5" w:rsidRPr="00D97681">
        <w:rPr>
          <w:vertAlign w:val="subscript"/>
          <w:lang w:val="en-GB"/>
        </w:rPr>
        <w:t>2</w:t>
      </w:r>
      <w:r w:rsidR="00FD7EA5">
        <w:rPr>
          <w:lang w:val="en-GB"/>
        </w:rPr>
        <w:t xml:space="preserve"> atmosphere. </w:t>
      </w:r>
      <w:r w:rsidR="00FD7EA5" w:rsidRPr="00C56FA6">
        <w:rPr>
          <w:lang w:val="en-GB"/>
        </w:rPr>
        <w:t>Whenever at the end of each stage the materials did not resist its handling</w:t>
      </w:r>
      <w:r w:rsidR="00AB55E7">
        <w:rPr>
          <w:lang w:val="en-GB"/>
        </w:rPr>
        <w:t xml:space="preserve"> </w:t>
      </w:r>
      <w:r w:rsidR="00FD7EA5" w:rsidRPr="00C56FA6">
        <w:rPr>
          <w:lang w:val="en-GB"/>
        </w:rPr>
        <w:t>(disintegrating)</w:t>
      </w:r>
      <w:r w:rsidR="00AB55E7">
        <w:rPr>
          <w:lang w:val="en-GB"/>
        </w:rPr>
        <w:t xml:space="preserve">, </w:t>
      </w:r>
      <w:r w:rsidR="00FD7EA5" w:rsidRPr="00C56FA6">
        <w:rPr>
          <w:lang w:val="en-GB"/>
        </w:rPr>
        <w:t>they d</w:t>
      </w:r>
      <w:r w:rsidR="00FD7EA5">
        <w:rPr>
          <w:lang w:val="en-GB"/>
        </w:rPr>
        <w:t>id</w:t>
      </w:r>
      <w:r w:rsidR="00FD7EA5" w:rsidRPr="00C56FA6">
        <w:rPr>
          <w:lang w:val="en-GB"/>
        </w:rPr>
        <w:t>n't pass to the next stage.</w:t>
      </w:r>
    </w:p>
    <w:p w14:paraId="4421169E" w14:textId="77777777" w:rsidR="00B80741" w:rsidRPr="00C112C5" w:rsidRDefault="002D39AD" w:rsidP="00C112C5">
      <w:pPr>
        <w:pStyle w:val="CETHeadingxx"/>
      </w:pPr>
      <w:r>
        <w:t>Granulation and activation: optimization of SS</w:t>
      </w:r>
      <w:r w:rsidR="000C15BC">
        <w:t>%</w:t>
      </w:r>
      <w:r>
        <w:t xml:space="preserve"> and activation conditions</w:t>
      </w:r>
    </w:p>
    <w:p w14:paraId="446D8144" w14:textId="35FCC507" w:rsidR="00CA00FB" w:rsidRDefault="002D39AD" w:rsidP="00374EAA">
      <w:pPr>
        <w:pStyle w:val="CETBodytext"/>
        <w:rPr>
          <w:lang w:val="en-GB"/>
        </w:rPr>
      </w:pPr>
      <w:r>
        <w:rPr>
          <w:lang w:val="en-GB"/>
        </w:rPr>
        <w:t>S</w:t>
      </w:r>
      <w:r w:rsidR="00FD7EA5">
        <w:rPr>
          <w:lang w:val="en-GB"/>
        </w:rPr>
        <w:t xml:space="preserve">odium silicate </w:t>
      </w:r>
      <w:r w:rsidR="006A27B3">
        <w:rPr>
          <w:lang w:val="en-GB"/>
        </w:rPr>
        <w:t xml:space="preserve">(SS) </w:t>
      </w:r>
      <w:r w:rsidR="00FD7EA5">
        <w:rPr>
          <w:lang w:val="en-GB"/>
        </w:rPr>
        <w:t xml:space="preserve">was tested at different %. </w:t>
      </w:r>
      <w:r w:rsidR="00A0006E">
        <w:rPr>
          <w:lang w:val="en-GB"/>
        </w:rPr>
        <w:t xml:space="preserve">Granulation was </w:t>
      </w:r>
      <w:r w:rsidR="00BB04AD" w:rsidRPr="00BB04AD">
        <w:rPr>
          <w:lang w:val="en-GB"/>
        </w:rPr>
        <w:t xml:space="preserve">carried out manually with the use of a plastic container in which the </w:t>
      </w:r>
      <w:r w:rsidR="00A5715A">
        <w:rPr>
          <w:lang w:val="en-GB"/>
        </w:rPr>
        <w:t>IH</w:t>
      </w:r>
      <w:r w:rsidR="00BB04AD" w:rsidRPr="00BB04AD">
        <w:rPr>
          <w:lang w:val="en-GB"/>
        </w:rPr>
        <w:t xml:space="preserve"> </w:t>
      </w:r>
      <w:r w:rsidR="00941C8B">
        <w:rPr>
          <w:lang w:val="en-GB"/>
        </w:rPr>
        <w:t>powder</w:t>
      </w:r>
      <w:r w:rsidR="008A1C0A">
        <w:rPr>
          <w:lang w:val="en-GB"/>
        </w:rPr>
        <w:t xml:space="preserve"> (0.9 g)</w:t>
      </w:r>
      <w:r w:rsidR="00941C8B">
        <w:rPr>
          <w:lang w:val="en-GB"/>
        </w:rPr>
        <w:t xml:space="preserve"> </w:t>
      </w:r>
      <w:r w:rsidR="00BB04AD" w:rsidRPr="00BB04AD">
        <w:rPr>
          <w:lang w:val="en-GB"/>
        </w:rPr>
        <w:t xml:space="preserve">was dispersed and over which </w:t>
      </w:r>
      <w:r w:rsidR="00CC024F">
        <w:rPr>
          <w:lang w:val="en-GB"/>
        </w:rPr>
        <w:t>different mass</w:t>
      </w:r>
      <w:r w:rsidR="00AB55E7">
        <w:rPr>
          <w:lang w:val="en-GB"/>
        </w:rPr>
        <w:t>es</w:t>
      </w:r>
      <w:r w:rsidR="009D2051">
        <w:rPr>
          <w:lang w:val="en-GB"/>
        </w:rPr>
        <w:t xml:space="preserve"> (3</w:t>
      </w:r>
      <w:r w:rsidR="00C23A7E">
        <w:rPr>
          <w:lang w:val="en-GB"/>
        </w:rPr>
        <w:t>.</w:t>
      </w:r>
      <w:r w:rsidR="009D2051">
        <w:rPr>
          <w:lang w:val="en-GB"/>
        </w:rPr>
        <w:t xml:space="preserve">5 g, 5 </w:t>
      </w:r>
      <w:proofErr w:type="gramStart"/>
      <w:r w:rsidR="009D2051">
        <w:rPr>
          <w:lang w:val="en-GB"/>
        </w:rPr>
        <w:t>g</w:t>
      </w:r>
      <w:proofErr w:type="gramEnd"/>
      <w:r w:rsidR="009D2051">
        <w:rPr>
          <w:lang w:val="en-GB"/>
        </w:rPr>
        <w:t xml:space="preserve"> and 5 g)</w:t>
      </w:r>
      <w:r w:rsidR="00CC024F">
        <w:rPr>
          <w:lang w:val="en-GB"/>
        </w:rPr>
        <w:t xml:space="preserve"> of </w:t>
      </w:r>
      <w:r w:rsidR="00A4618D">
        <w:rPr>
          <w:lang w:val="en-GB"/>
        </w:rPr>
        <w:t>various</w:t>
      </w:r>
      <w:r w:rsidR="00CC024F">
        <w:rPr>
          <w:lang w:val="en-GB"/>
        </w:rPr>
        <w:t xml:space="preserve"> </w:t>
      </w:r>
      <w:r w:rsidR="006A27B3">
        <w:rPr>
          <w:lang w:val="en-GB"/>
        </w:rPr>
        <w:t>SS solutions</w:t>
      </w:r>
      <w:r w:rsidR="00CC024F">
        <w:rPr>
          <w:lang w:val="en-GB"/>
        </w:rPr>
        <w:t xml:space="preserve"> (5 %, 10 % and 20 %)</w:t>
      </w:r>
      <w:r w:rsidR="009D2051">
        <w:rPr>
          <w:lang w:val="en-GB"/>
        </w:rPr>
        <w:t xml:space="preserve"> </w:t>
      </w:r>
      <w:r w:rsidR="00941C8B">
        <w:rPr>
          <w:lang w:val="en-GB"/>
        </w:rPr>
        <w:t>w</w:t>
      </w:r>
      <w:r w:rsidR="00BD645B">
        <w:rPr>
          <w:lang w:val="en-GB"/>
        </w:rPr>
        <w:t>ere</w:t>
      </w:r>
      <w:r w:rsidR="00BB04AD" w:rsidRPr="00BB04AD">
        <w:rPr>
          <w:lang w:val="en-GB"/>
        </w:rPr>
        <w:t xml:space="preserve"> sprayed</w:t>
      </w:r>
      <w:r w:rsidR="00BD645B" w:rsidRPr="00BD645B">
        <w:rPr>
          <w:lang w:val="en-GB"/>
        </w:rPr>
        <w:t xml:space="preserve"> </w:t>
      </w:r>
      <w:r w:rsidR="00BD645B" w:rsidRPr="00BB04AD">
        <w:rPr>
          <w:lang w:val="en-GB"/>
        </w:rPr>
        <w:t>subjecting the whole</w:t>
      </w:r>
      <w:r w:rsidR="00BD645B">
        <w:rPr>
          <w:lang w:val="en-GB"/>
        </w:rPr>
        <w:t xml:space="preserve"> set</w:t>
      </w:r>
      <w:r w:rsidR="00BD645B" w:rsidRPr="00BB04AD">
        <w:rPr>
          <w:lang w:val="en-GB"/>
        </w:rPr>
        <w:t xml:space="preserve"> to a </w:t>
      </w:r>
      <w:r w:rsidR="00BD645B">
        <w:rPr>
          <w:lang w:val="en-GB"/>
        </w:rPr>
        <w:t xml:space="preserve">manual </w:t>
      </w:r>
      <w:r w:rsidR="00BD645B" w:rsidRPr="00BB04AD">
        <w:rPr>
          <w:lang w:val="en-GB"/>
        </w:rPr>
        <w:t>continuous centrifugal movement.</w:t>
      </w:r>
      <w:r w:rsidR="006A27B3">
        <w:rPr>
          <w:lang w:val="en-GB"/>
        </w:rPr>
        <w:t xml:space="preserve"> </w:t>
      </w:r>
      <w:r w:rsidR="00BD645B">
        <w:rPr>
          <w:lang w:val="en-GB"/>
        </w:rPr>
        <w:t xml:space="preserve">The resulting </w:t>
      </w:r>
      <w:r w:rsidR="006A27B3">
        <w:rPr>
          <w:lang w:val="en-GB"/>
        </w:rPr>
        <w:t xml:space="preserve">final SS% </w:t>
      </w:r>
      <w:r w:rsidR="00BD645B">
        <w:rPr>
          <w:lang w:val="en-GB"/>
        </w:rPr>
        <w:t>were</w:t>
      </w:r>
      <w:r w:rsidR="006A27B3">
        <w:rPr>
          <w:lang w:val="en-GB"/>
        </w:rPr>
        <w:t xml:space="preserve"> 16</w:t>
      </w:r>
      <w:r w:rsidR="00224087">
        <w:rPr>
          <w:lang w:val="en-GB"/>
        </w:rPr>
        <w:t xml:space="preserve"> </w:t>
      </w:r>
      <w:r w:rsidR="006A27B3">
        <w:rPr>
          <w:lang w:val="en-GB"/>
        </w:rPr>
        <w:t>%, 36</w:t>
      </w:r>
      <w:r w:rsidR="00224087">
        <w:rPr>
          <w:lang w:val="en-GB"/>
        </w:rPr>
        <w:t xml:space="preserve"> </w:t>
      </w:r>
      <w:r w:rsidR="006A27B3">
        <w:rPr>
          <w:lang w:val="en-GB"/>
        </w:rPr>
        <w:t>% and 53</w:t>
      </w:r>
      <w:r w:rsidR="00224087">
        <w:rPr>
          <w:lang w:val="en-GB"/>
        </w:rPr>
        <w:t xml:space="preserve"> </w:t>
      </w:r>
      <w:r w:rsidR="006A27B3">
        <w:rPr>
          <w:lang w:val="en-GB"/>
        </w:rPr>
        <w:t xml:space="preserve">% </w:t>
      </w:r>
      <w:r w:rsidR="008E6279">
        <w:rPr>
          <w:lang w:val="en-GB"/>
        </w:rPr>
        <w:t xml:space="preserve">w/w </w:t>
      </w:r>
      <w:r w:rsidR="006A27B3">
        <w:rPr>
          <w:lang w:val="en-GB"/>
        </w:rPr>
        <w:t>(</w:t>
      </w:r>
      <w:r w:rsidR="00BD645B">
        <w:rPr>
          <w:lang w:val="en-GB"/>
        </w:rPr>
        <w:t xml:space="preserve">as </w:t>
      </w:r>
      <w:r w:rsidR="006A27B3">
        <w:rPr>
          <w:lang w:val="en-GB"/>
        </w:rPr>
        <w:t>SS</w:t>
      </w:r>
      <w:r w:rsidR="008E6279">
        <w:rPr>
          <w:lang w:val="en-GB"/>
        </w:rPr>
        <w:t xml:space="preserve"> </w:t>
      </w:r>
      <w:r w:rsidR="008E6279">
        <w:rPr>
          <w:rFonts w:cs="Arial"/>
          <w:lang w:val="en-GB"/>
        </w:rPr>
        <w:t>∙</w:t>
      </w:r>
      <w:r w:rsidR="008E6279">
        <w:rPr>
          <w:lang w:val="en-GB"/>
        </w:rPr>
        <w:t xml:space="preserve"> </w:t>
      </w:r>
      <w:r w:rsidR="00EE3D99">
        <w:rPr>
          <w:lang w:val="en-GB"/>
        </w:rPr>
        <w:t>(</w:t>
      </w:r>
      <w:r w:rsidR="006A27B3">
        <w:rPr>
          <w:lang w:val="en-GB"/>
        </w:rPr>
        <w:t>I</w:t>
      </w:r>
      <w:r w:rsidR="00224087">
        <w:rPr>
          <w:lang w:val="en-GB"/>
        </w:rPr>
        <w:t>H</w:t>
      </w:r>
      <w:r w:rsidR="00EE3D99">
        <w:rPr>
          <w:lang w:val="en-GB"/>
        </w:rPr>
        <w:t>+SS)</w:t>
      </w:r>
      <w:r w:rsidR="00CC4F80" w:rsidRPr="00C112C5">
        <w:rPr>
          <w:vertAlign w:val="superscript"/>
          <w:lang w:val="en-GB"/>
        </w:rPr>
        <w:t>-1</w:t>
      </w:r>
      <w:r w:rsidR="006A27B3">
        <w:rPr>
          <w:lang w:val="en-GB"/>
        </w:rPr>
        <w:t xml:space="preserve">). </w:t>
      </w:r>
      <w:r w:rsidR="006E588C" w:rsidRPr="006E588C">
        <w:rPr>
          <w:lang w:val="en-GB"/>
        </w:rPr>
        <w:t xml:space="preserve">The pulverization and centrifugal movement </w:t>
      </w:r>
      <w:r w:rsidR="00AB55E7" w:rsidRPr="006E588C">
        <w:rPr>
          <w:lang w:val="en-GB"/>
        </w:rPr>
        <w:t xml:space="preserve">steps </w:t>
      </w:r>
      <w:r w:rsidR="006E588C" w:rsidRPr="006E588C">
        <w:rPr>
          <w:lang w:val="en-GB"/>
        </w:rPr>
        <w:t>were repeated</w:t>
      </w:r>
      <w:r w:rsidR="006E588C">
        <w:rPr>
          <w:lang w:val="en-GB"/>
        </w:rPr>
        <w:t>,</w:t>
      </w:r>
      <w:r w:rsidR="006E588C" w:rsidRPr="006E588C">
        <w:rPr>
          <w:lang w:val="en-GB"/>
        </w:rPr>
        <w:t xml:space="preserve"> as many times as necessary</w:t>
      </w:r>
      <w:r w:rsidR="006E588C">
        <w:rPr>
          <w:lang w:val="en-GB"/>
        </w:rPr>
        <w:t>,</w:t>
      </w:r>
      <w:r w:rsidR="006E588C" w:rsidRPr="006E588C">
        <w:rPr>
          <w:lang w:val="en-GB"/>
        </w:rPr>
        <w:t xml:space="preserve"> until granules were obtained.</w:t>
      </w:r>
      <w:r w:rsidR="00BD645B">
        <w:rPr>
          <w:lang w:val="en-GB"/>
        </w:rPr>
        <w:t xml:space="preserve"> These samples </w:t>
      </w:r>
      <w:r w:rsidR="00F00162">
        <w:rPr>
          <w:lang w:val="en-GB"/>
        </w:rPr>
        <w:t xml:space="preserve">were activated at </w:t>
      </w:r>
      <w:proofErr w:type="spellStart"/>
      <w:r w:rsidR="00271C57">
        <w:rPr>
          <w:lang w:val="en-GB"/>
        </w:rPr>
        <w:t>T</w:t>
      </w:r>
      <w:r w:rsidR="00CC4F80" w:rsidRPr="00C112C5">
        <w:rPr>
          <w:vertAlign w:val="subscript"/>
          <w:lang w:val="en-GB"/>
        </w:rPr>
        <w:t>max</w:t>
      </w:r>
      <w:proofErr w:type="spellEnd"/>
      <w:r w:rsidR="00271C57">
        <w:rPr>
          <w:lang w:val="en-GB"/>
        </w:rPr>
        <w:t xml:space="preserve"> </w:t>
      </w:r>
      <w:r w:rsidR="00EC0FF5">
        <w:rPr>
          <w:lang w:val="en-GB"/>
        </w:rPr>
        <w:t>30</w:t>
      </w:r>
      <w:r w:rsidR="005D2392" w:rsidRPr="005D2392">
        <w:rPr>
          <w:lang w:val="en-GB"/>
        </w:rPr>
        <w:t xml:space="preserve">0 </w:t>
      </w:r>
      <w:bookmarkStart w:id="7" w:name="_Hlk93876184"/>
      <w:r w:rsidR="00941C8B">
        <w:rPr>
          <w:lang w:val="en-GB"/>
        </w:rPr>
        <w:t>°C</w:t>
      </w:r>
      <w:bookmarkEnd w:id="7"/>
      <w:r w:rsidR="00941C8B">
        <w:rPr>
          <w:lang w:val="en-GB"/>
        </w:rPr>
        <w:t xml:space="preserve"> </w:t>
      </w:r>
      <w:r w:rsidR="00F00162">
        <w:rPr>
          <w:lang w:val="en-GB"/>
        </w:rPr>
        <w:t>and</w:t>
      </w:r>
      <w:r w:rsidR="005D2392" w:rsidRPr="005D2392">
        <w:rPr>
          <w:lang w:val="en-GB"/>
        </w:rPr>
        <w:t xml:space="preserve"> 500 </w:t>
      </w:r>
      <w:r w:rsidR="00062E38">
        <w:rPr>
          <w:lang w:val="en-GB"/>
        </w:rPr>
        <w:t>º</w:t>
      </w:r>
      <w:r w:rsidR="005D2392" w:rsidRPr="005D2392">
        <w:rPr>
          <w:lang w:val="en-GB"/>
        </w:rPr>
        <w:t>C</w:t>
      </w:r>
      <w:r w:rsidR="00F00162">
        <w:rPr>
          <w:lang w:val="en-GB"/>
        </w:rPr>
        <w:t xml:space="preserve"> under</w:t>
      </w:r>
      <w:r w:rsidR="005D2392" w:rsidRPr="005D2392">
        <w:rPr>
          <w:lang w:val="en-GB"/>
        </w:rPr>
        <w:t xml:space="preserve"> </w:t>
      </w:r>
      <w:r w:rsidR="00AB55E7">
        <w:rPr>
          <w:lang w:val="en-GB"/>
        </w:rPr>
        <w:t xml:space="preserve">the </w:t>
      </w:r>
      <w:r w:rsidR="005D2392" w:rsidRPr="005D2392">
        <w:rPr>
          <w:lang w:val="en-GB"/>
        </w:rPr>
        <w:t xml:space="preserve">atmosphere </w:t>
      </w:r>
      <w:r w:rsidR="00F00162">
        <w:rPr>
          <w:lang w:val="en-GB"/>
        </w:rPr>
        <w:t xml:space="preserve">of sole </w:t>
      </w:r>
      <w:r w:rsidR="005D2392" w:rsidRPr="005D2392">
        <w:rPr>
          <w:lang w:val="en-GB"/>
        </w:rPr>
        <w:t>N</w:t>
      </w:r>
      <w:r w:rsidR="005D2392" w:rsidRPr="006530E1">
        <w:rPr>
          <w:vertAlign w:val="subscript"/>
          <w:lang w:val="en-GB"/>
        </w:rPr>
        <w:t>2</w:t>
      </w:r>
      <w:r w:rsidR="00EE63BA">
        <w:rPr>
          <w:lang w:val="en-GB"/>
        </w:rPr>
        <w:t xml:space="preserve"> flow</w:t>
      </w:r>
      <w:r w:rsidR="0092386B">
        <w:rPr>
          <w:lang w:val="en-GB"/>
        </w:rPr>
        <w:t xml:space="preserve"> </w:t>
      </w:r>
      <w:r w:rsidR="00EC0FF5">
        <w:rPr>
          <w:lang w:val="en-GB"/>
        </w:rPr>
        <w:t xml:space="preserve">or </w:t>
      </w:r>
      <w:r w:rsidR="00271C57">
        <w:rPr>
          <w:lang w:val="en-GB"/>
        </w:rPr>
        <w:t xml:space="preserve">under </w:t>
      </w:r>
      <w:r w:rsidR="0092386B">
        <w:rPr>
          <w:lang w:val="en-GB"/>
        </w:rPr>
        <w:t>N</w:t>
      </w:r>
      <w:r w:rsidR="0092386B" w:rsidRPr="0092386B">
        <w:rPr>
          <w:vertAlign w:val="subscript"/>
          <w:lang w:val="en-GB"/>
        </w:rPr>
        <w:t>2</w:t>
      </w:r>
      <w:r w:rsidR="00EC0FF5">
        <w:rPr>
          <w:lang w:val="en-GB"/>
        </w:rPr>
        <w:t xml:space="preserve"> </w:t>
      </w:r>
      <w:r w:rsidR="00F00162">
        <w:rPr>
          <w:lang w:val="en-GB"/>
        </w:rPr>
        <w:t xml:space="preserve">flow </w:t>
      </w:r>
      <w:r w:rsidR="00EC0FF5">
        <w:rPr>
          <w:lang w:val="en-GB"/>
        </w:rPr>
        <w:t xml:space="preserve">followed by </w:t>
      </w:r>
      <w:r w:rsidR="00F00162">
        <w:rPr>
          <w:lang w:val="en-GB"/>
        </w:rPr>
        <w:t xml:space="preserve">pure </w:t>
      </w:r>
      <w:r w:rsidR="005D2392" w:rsidRPr="005D2392">
        <w:rPr>
          <w:lang w:val="en-GB"/>
        </w:rPr>
        <w:t>CO</w:t>
      </w:r>
      <w:r w:rsidR="005D2392" w:rsidRPr="006530E1">
        <w:rPr>
          <w:vertAlign w:val="subscript"/>
          <w:lang w:val="en-GB"/>
        </w:rPr>
        <w:t>2</w:t>
      </w:r>
      <w:r w:rsidR="00271C57">
        <w:rPr>
          <w:lang w:val="en-GB"/>
        </w:rPr>
        <w:t xml:space="preserve"> flow</w:t>
      </w:r>
      <w:r w:rsidR="00A92BBC">
        <w:rPr>
          <w:lang w:val="en-GB"/>
        </w:rPr>
        <w:t xml:space="preserve"> </w:t>
      </w:r>
      <w:r w:rsidR="00EC0FF5">
        <w:rPr>
          <w:lang w:val="en-GB"/>
        </w:rPr>
        <w:t xml:space="preserve">when </w:t>
      </w:r>
      <w:r w:rsidR="00F00162">
        <w:rPr>
          <w:lang w:val="en-GB"/>
        </w:rPr>
        <w:t xml:space="preserve">the </w:t>
      </w:r>
      <w:proofErr w:type="spellStart"/>
      <w:r w:rsidR="00F00162">
        <w:rPr>
          <w:lang w:val="en-GB"/>
        </w:rPr>
        <w:t>T</w:t>
      </w:r>
      <w:r w:rsidR="00CC4F80" w:rsidRPr="00C112C5">
        <w:rPr>
          <w:vertAlign w:val="subscript"/>
          <w:lang w:val="en-GB"/>
        </w:rPr>
        <w:t>max</w:t>
      </w:r>
      <w:proofErr w:type="spellEnd"/>
      <w:r w:rsidR="00EC0FF5">
        <w:rPr>
          <w:lang w:val="en-GB"/>
        </w:rPr>
        <w:t xml:space="preserve"> </w:t>
      </w:r>
      <w:r w:rsidR="003D6104">
        <w:rPr>
          <w:lang w:val="en-GB"/>
        </w:rPr>
        <w:t>was reached</w:t>
      </w:r>
      <w:r w:rsidR="00F00162">
        <w:rPr>
          <w:lang w:val="en-GB"/>
        </w:rPr>
        <w:t xml:space="preserve"> (</w:t>
      </w:r>
      <w:r w:rsidR="002338FE">
        <w:rPr>
          <w:lang w:val="en-GB"/>
        </w:rPr>
        <w:t>N</w:t>
      </w:r>
      <w:r w:rsidR="00CC4F80" w:rsidRPr="00C112C5">
        <w:rPr>
          <w:vertAlign w:val="subscript"/>
          <w:lang w:val="en-GB"/>
        </w:rPr>
        <w:t>2</w:t>
      </w:r>
      <w:r w:rsidR="008B4F53">
        <w:rPr>
          <w:rFonts w:cs="Arial"/>
          <w:lang w:val="en-GB"/>
        </w:rPr>
        <w:t>→</w:t>
      </w:r>
      <w:r w:rsidR="002338FE">
        <w:rPr>
          <w:lang w:val="en-GB"/>
        </w:rPr>
        <w:t>CO</w:t>
      </w:r>
      <w:r w:rsidR="00CC4F80" w:rsidRPr="00C112C5">
        <w:rPr>
          <w:vertAlign w:val="subscript"/>
          <w:lang w:val="en-GB"/>
        </w:rPr>
        <w:t>2</w:t>
      </w:r>
      <w:r w:rsidR="002338FE">
        <w:rPr>
          <w:lang w:val="en-GB"/>
        </w:rPr>
        <w:t>, both of 150 m</w:t>
      </w:r>
      <w:r w:rsidR="00862ECA">
        <w:rPr>
          <w:lang w:val="en-GB"/>
        </w:rPr>
        <w:t>L</w:t>
      </w:r>
      <w:r w:rsidR="002338FE">
        <w:rPr>
          <w:lang w:val="en-GB"/>
        </w:rPr>
        <w:t xml:space="preserve"> min</w:t>
      </w:r>
      <w:r w:rsidR="002338FE" w:rsidRPr="00220FC9">
        <w:rPr>
          <w:vertAlign w:val="superscript"/>
          <w:lang w:val="en-GB"/>
        </w:rPr>
        <w:t>-1</w:t>
      </w:r>
      <w:r w:rsidR="00ED79E9">
        <w:rPr>
          <w:lang w:val="en-GB"/>
        </w:rPr>
        <w:t>)</w:t>
      </w:r>
      <w:r w:rsidR="00F00162">
        <w:rPr>
          <w:lang w:val="en-GB"/>
        </w:rPr>
        <w:t>,</w:t>
      </w:r>
      <w:r w:rsidR="00B35C9D">
        <w:rPr>
          <w:lang w:val="en-GB"/>
        </w:rPr>
        <w:t xml:space="preserve"> in a horizontal tubular </w:t>
      </w:r>
      <w:r w:rsidR="004664AC">
        <w:rPr>
          <w:lang w:val="en-GB"/>
        </w:rPr>
        <w:t>furnace</w:t>
      </w:r>
      <w:r w:rsidR="00EC604C">
        <w:rPr>
          <w:lang w:val="en-GB"/>
        </w:rPr>
        <w:t xml:space="preserve"> </w:t>
      </w:r>
      <w:r w:rsidR="00EC3BF0">
        <w:rPr>
          <w:lang w:val="en-GB"/>
        </w:rPr>
        <w:t>TR-334/2018</w:t>
      </w:r>
      <w:r w:rsidR="00941C8B">
        <w:rPr>
          <w:lang w:val="en-GB"/>
        </w:rPr>
        <w:t xml:space="preserve"> (</w:t>
      </w:r>
      <w:proofErr w:type="spellStart"/>
      <w:r w:rsidR="00EC604C">
        <w:rPr>
          <w:lang w:val="en-GB"/>
        </w:rPr>
        <w:t>Termolab</w:t>
      </w:r>
      <w:proofErr w:type="spellEnd"/>
      <w:r w:rsidR="00941C8B">
        <w:rPr>
          <w:lang w:val="en-GB"/>
        </w:rPr>
        <w:t>)</w:t>
      </w:r>
      <w:r w:rsidR="00EC3BF0">
        <w:rPr>
          <w:lang w:val="en-GB"/>
        </w:rPr>
        <w:t xml:space="preserve">. </w:t>
      </w:r>
      <w:proofErr w:type="spellStart"/>
      <w:r w:rsidR="00C06D39">
        <w:rPr>
          <w:lang w:val="en-GB"/>
        </w:rPr>
        <w:t>T</w:t>
      </w:r>
      <w:r w:rsidR="00CC4F80" w:rsidRPr="00C112C5">
        <w:rPr>
          <w:vertAlign w:val="subscript"/>
          <w:lang w:val="en-GB"/>
        </w:rPr>
        <w:t>max</w:t>
      </w:r>
      <w:proofErr w:type="spellEnd"/>
      <w:r w:rsidR="00C06D39">
        <w:rPr>
          <w:lang w:val="en-GB"/>
        </w:rPr>
        <w:t xml:space="preserve"> was maintained for 7 h. </w:t>
      </w:r>
      <w:r w:rsidR="00F37B19" w:rsidRPr="00F37B19">
        <w:rPr>
          <w:lang w:val="en-GB"/>
        </w:rPr>
        <w:t xml:space="preserve">The designation of the samples </w:t>
      </w:r>
      <w:r w:rsidR="00271C57">
        <w:rPr>
          <w:lang w:val="en-GB"/>
        </w:rPr>
        <w:lastRenderedPageBreak/>
        <w:t xml:space="preserve">at different SS% </w:t>
      </w:r>
      <w:r w:rsidR="00F37B19">
        <w:rPr>
          <w:lang w:val="en-GB"/>
        </w:rPr>
        <w:t xml:space="preserve">follows the </w:t>
      </w:r>
      <w:r w:rsidR="00F37B19" w:rsidRPr="00F37B19">
        <w:rPr>
          <w:lang w:val="en-GB"/>
        </w:rPr>
        <w:t>format</w:t>
      </w:r>
      <w:r w:rsidR="00F37B19">
        <w:rPr>
          <w:lang w:val="en-GB"/>
        </w:rPr>
        <w:t xml:space="preserve"> </w:t>
      </w:r>
      <w:r w:rsidR="00ED79E9" w:rsidRPr="008D3BF0">
        <w:rPr>
          <w:i/>
          <w:iCs/>
          <w:lang w:val="en-GB"/>
        </w:rPr>
        <w:t>IH-SS%-T/Gas</w:t>
      </w:r>
      <w:r w:rsidR="00ED79E9">
        <w:rPr>
          <w:lang w:val="en-GB"/>
        </w:rPr>
        <w:t>,</w:t>
      </w:r>
      <w:r w:rsidR="00EB2C0F">
        <w:rPr>
          <w:lang w:val="en-GB"/>
        </w:rPr>
        <w:t xml:space="preserve"> as an example IH-</w:t>
      </w:r>
      <w:r w:rsidR="006D07C4">
        <w:rPr>
          <w:lang w:val="en-GB"/>
        </w:rPr>
        <w:t>16</w:t>
      </w:r>
      <w:r w:rsidR="00EB2C0F">
        <w:rPr>
          <w:lang w:val="en-GB"/>
        </w:rPr>
        <w:t>-300/N</w:t>
      </w:r>
      <w:r w:rsidR="00EB2C0F" w:rsidRPr="00BC6E3B">
        <w:rPr>
          <w:vertAlign w:val="subscript"/>
          <w:lang w:val="en-GB"/>
        </w:rPr>
        <w:t>2</w:t>
      </w:r>
      <w:r w:rsidR="00271C57">
        <w:rPr>
          <w:lang w:val="en-GB"/>
        </w:rPr>
        <w:t xml:space="preserve">: </w:t>
      </w:r>
      <w:r w:rsidR="006D07C4">
        <w:rPr>
          <w:lang w:val="en-GB"/>
        </w:rPr>
        <w:t xml:space="preserve">16 % of </w:t>
      </w:r>
      <w:r w:rsidR="008E6279">
        <w:rPr>
          <w:lang w:val="en-GB"/>
        </w:rPr>
        <w:t>SS</w:t>
      </w:r>
      <w:r w:rsidR="00EB2C0F">
        <w:rPr>
          <w:lang w:val="en-GB"/>
        </w:rPr>
        <w:t xml:space="preserve">, </w:t>
      </w:r>
      <w:proofErr w:type="spellStart"/>
      <w:r w:rsidR="00C06D39">
        <w:rPr>
          <w:lang w:val="en-GB"/>
        </w:rPr>
        <w:t>T</w:t>
      </w:r>
      <w:r w:rsidR="00CC4F80" w:rsidRPr="00C112C5">
        <w:rPr>
          <w:vertAlign w:val="subscript"/>
          <w:lang w:val="en-GB"/>
        </w:rPr>
        <w:t>max</w:t>
      </w:r>
      <w:proofErr w:type="spellEnd"/>
      <w:r w:rsidR="00EB2C0F">
        <w:rPr>
          <w:lang w:val="en-GB"/>
        </w:rPr>
        <w:t xml:space="preserve"> 300</w:t>
      </w:r>
      <w:r w:rsidR="00F37B19">
        <w:rPr>
          <w:lang w:val="en-GB"/>
        </w:rPr>
        <w:t xml:space="preserve"> </w:t>
      </w:r>
      <w:r w:rsidR="00EB2C0F">
        <w:rPr>
          <w:lang w:val="en-GB"/>
        </w:rPr>
        <w:t xml:space="preserve">ºC, </w:t>
      </w:r>
      <w:r w:rsidR="00BD06D9">
        <w:rPr>
          <w:lang w:val="en-GB"/>
        </w:rPr>
        <w:t>under N</w:t>
      </w:r>
      <w:r w:rsidR="00BD06D9" w:rsidRPr="00F37B19">
        <w:rPr>
          <w:vertAlign w:val="subscript"/>
          <w:lang w:val="en-GB"/>
        </w:rPr>
        <w:t>2</w:t>
      </w:r>
      <w:r w:rsidR="00BD06D9">
        <w:rPr>
          <w:lang w:val="en-GB"/>
        </w:rPr>
        <w:t xml:space="preserve"> </w:t>
      </w:r>
      <w:r w:rsidR="00C06D39">
        <w:rPr>
          <w:lang w:val="en-GB"/>
        </w:rPr>
        <w:t xml:space="preserve">atmosphere </w:t>
      </w:r>
      <w:r w:rsidR="00BD06D9">
        <w:rPr>
          <w:lang w:val="en-GB"/>
        </w:rPr>
        <w:t xml:space="preserve">only. </w:t>
      </w:r>
    </w:p>
    <w:p w14:paraId="3804EDB0" w14:textId="77777777" w:rsidR="00B32ED5" w:rsidRDefault="00B32ED5" w:rsidP="00C112C5">
      <w:pPr>
        <w:pStyle w:val="CETheadingx"/>
      </w:pPr>
      <w:r>
        <w:t>Adsorbent characterization</w:t>
      </w:r>
    </w:p>
    <w:p w14:paraId="301F4691" w14:textId="4834C902" w:rsidR="00DB225E" w:rsidRDefault="003225FC" w:rsidP="00374EAA">
      <w:pPr>
        <w:pStyle w:val="CETBodytext"/>
        <w:rPr>
          <w:lang w:val="en-GB"/>
        </w:rPr>
      </w:pPr>
      <w:r w:rsidRPr="003225FC">
        <w:rPr>
          <w:lang w:val="en-GB"/>
        </w:rPr>
        <w:t>The textural characterization was made by N</w:t>
      </w:r>
      <w:r w:rsidRPr="00F37B19">
        <w:rPr>
          <w:vertAlign w:val="subscript"/>
          <w:lang w:val="en-GB"/>
        </w:rPr>
        <w:t>2</w:t>
      </w:r>
      <w:r w:rsidRPr="003225FC">
        <w:rPr>
          <w:lang w:val="en-GB"/>
        </w:rPr>
        <w:t xml:space="preserve"> adsor</w:t>
      </w:r>
      <w:r>
        <w:rPr>
          <w:lang w:val="en-GB"/>
        </w:rPr>
        <w:t>p</w:t>
      </w:r>
      <w:r w:rsidRPr="003225FC">
        <w:rPr>
          <w:lang w:val="en-GB"/>
        </w:rPr>
        <w:t xml:space="preserve">tion at </w:t>
      </w:r>
      <w:r w:rsidR="008C36BA" w:rsidRPr="003225FC">
        <w:rPr>
          <w:lang w:val="en-GB"/>
        </w:rPr>
        <w:t xml:space="preserve">-196 ºC, </w:t>
      </w:r>
      <w:r>
        <w:rPr>
          <w:lang w:val="en-GB"/>
        </w:rPr>
        <w:t xml:space="preserve">after degasification of samples at </w:t>
      </w:r>
      <w:r w:rsidR="008C36BA" w:rsidRPr="003225FC">
        <w:rPr>
          <w:lang w:val="en-GB"/>
        </w:rPr>
        <w:t>200 ºC (</w:t>
      </w:r>
      <w:r w:rsidR="008C36BA" w:rsidRPr="00157ED2">
        <w:rPr>
          <w:lang w:val="en-GB"/>
        </w:rPr>
        <w:t>2 h)</w:t>
      </w:r>
      <w:r w:rsidR="008C36BA" w:rsidRPr="003225FC">
        <w:rPr>
          <w:lang w:val="en-GB"/>
        </w:rPr>
        <w:t xml:space="preserve"> </w:t>
      </w:r>
      <w:r>
        <w:rPr>
          <w:lang w:val="en-GB"/>
        </w:rPr>
        <w:t xml:space="preserve">on </w:t>
      </w:r>
      <w:r w:rsidR="00967AE0">
        <w:rPr>
          <w:lang w:val="en-GB"/>
        </w:rPr>
        <w:t>an</w:t>
      </w:r>
      <w:r>
        <w:rPr>
          <w:lang w:val="en-GB"/>
        </w:rPr>
        <w:t xml:space="preserve"> </w:t>
      </w:r>
      <w:r w:rsidR="00967AE0">
        <w:rPr>
          <w:lang w:val="en-GB"/>
        </w:rPr>
        <w:t>equipment</w:t>
      </w:r>
      <w:r>
        <w:rPr>
          <w:lang w:val="en-GB"/>
        </w:rPr>
        <w:t xml:space="preserve"> </w:t>
      </w:r>
      <w:r w:rsidRPr="003225FC">
        <w:rPr>
          <w:lang w:val="en-GB"/>
        </w:rPr>
        <w:t xml:space="preserve">ASAP 2010 V1.01 B </w:t>
      </w:r>
      <w:r w:rsidR="00B32ED5">
        <w:rPr>
          <w:lang w:val="en-GB"/>
        </w:rPr>
        <w:t>(</w:t>
      </w:r>
      <w:r w:rsidRPr="003225FC">
        <w:rPr>
          <w:lang w:val="en-GB"/>
        </w:rPr>
        <w:t>Micromeritics</w:t>
      </w:r>
      <w:r w:rsidR="00B32ED5">
        <w:rPr>
          <w:lang w:val="en-GB"/>
        </w:rPr>
        <w:t>), while</w:t>
      </w:r>
      <w:r w:rsidR="00967AE0">
        <w:rPr>
          <w:lang w:val="en-GB"/>
        </w:rPr>
        <w:t xml:space="preserve"> t</w:t>
      </w:r>
      <w:r w:rsidRPr="003225FC">
        <w:rPr>
          <w:lang w:val="en-GB"/>
        </w:rPr>
        <w:t>he apparent specific surface area</w:t>
      </w:r>
      <w:r w:rsidR="00B32ED5">
        <w:rPr>
          <w:lang w:val="en-GB"/>
        </w:rPr>
        <w:t xml:space="preserve"> </w:t>
      </w:r>
      <w:r w:rsidRPr="003225FC">
        <w:rPr>
          <w:lang w:val="en-GB"/>
        </w:rPr>
        <w:t>was determined using the BET method</w:t>
      </w:r>
      <w:r w:rsidR="00967AE0">
        <w:rPr>
          <w:lang w:val="en-GB"/>
        </w:rPr>
        <w:t>.</w:t>
      </w:r>
      <w:r w:rsidR="009E456F">
        <w:rPr>
          <w:lang w:val="en-GB"/>
        </w:rPr>
        <w:t xml:space="preserve"> </w:t>
      </w:r>
      <w:r w:rsidR="001179BD">
        <w:rPr>
          <w:lang w:val="en-GB"/>
        </w:rPr>
        <w:t>A</w:t>
      </w:r>
      <w:r w:rsidR="004065BF">
        <w:rPr>
          <w:lang w:val="en-GB"/>
        </w:rPr>
        <w:t xml:space="preserve">rsenic adsorption capacity </w:t>
      </w:r>
      <w:r w:rsidR="00901245">
        <w:rPr>
          <w:lang w:val="en-GB"/>
        </w:rPr>
        <w:t>(</w:t>
      </w:r>
      <w:proofErr w:type="spellStart"/>
      <w:r w:rsidR="00901245">
        <w:rPr>
          <w:lang w:val="en-GB"/>
        </w:rPr>
        <w:t>q</w:t>
      </w:r>
      <w:r w:rsidR="00CC4F80" w:rsidRPr="00C112C5">
        <w:rPr>
          <w:vertAlign w:val="subscript"/>
          <w:lang w:val="en-GB"/>
        </w:rPr>
        <w:t>As</w:t>
      </w:r>
      <w:proofErr w:type="spellEnd"/>
      <w:r w:rsidR="00901245">
        <w:rPr>
          <w:lang w:val="en-GB"/>
        </w:rPr>
        <w:t xml:space="preserve">) </w:t>
      </w:r>
      <w:r w:rsidR="00B94ABC">
        <w:rPr>
          <w:lang w:val="en-GB"/>
        </w:rPr>
        <w:t xml:space="preserve">was </w:t>
      </w:r>
      <w:r w:rsidR="00901245">
        <w:rPr>
          <w:lang w:val="en-GB"/>
        </w:rPr>
        <w:t xml:space="preserve">measured </w:t>
      </w:r>
      <w:r w:rsidR="00B94ABC">
        <w:rPr>
          <w:lang w:val="en-GB"/>
        </w:rPr>
        <w:t xml:space="preserve">as follows: </w:t>
      </w:r>
      <w:r w:rsidR="001179BD">
        <w:rPr>
          <w:lang w:val="en-GB"/>
        </w:rPr>
        <w:t>20 mg of adsorbent were suspended in 20 mL of 15 mg</w:t>
      </w:r>
      <w:r w:rsidR="00C23A7E">
        <w:rPr>
          <w:lang w:val="en-GB"/>
        </w:rPr>
        <w:t xml:space="preserve"> </w:t>
      </w:r>
      <w:r w:rsidR="001179BD">
        <w:rPr>
          <w:lang w:val="en-GB"/>
        </w:rPr>
        <w:t>L</w:t>
      </w:r>
      <w:r w:rsidR="00CC4F80" w:rsidRPr="002B4FC5">
        <w:rPr>
          <w:vertAlign w:val="superscript"/>
          <w:lang w:val="en-GB"/>
        </w:rPr>
        <w:t>-1</w:t>
      </w:r>
      <w:r w:rsidR="001179BD">
        <w:rPr>
          <w:lang w:val="en-GB"/>
        </w:rPr>
        <w:t xml:space="preserve"> As (as </w:t>
      </w:r>
      <w:r w:rsidR="001179BD" w:rsidRPr="001179BD">
        <w:rPr>
          <w:lang w:val="en-GB"/>
        </w:rPr>
        <w:t>KH</w:t>
      </w:r>
      <w:r w:rsidR="001179BD" w:rsidRPr="00114B89">
        <w:rPr>
          <w:vertAlign w:val="subscript"/>
          <w:lang w:val="en-GB"/>
        </w:rPr>
        <w:t>2</w:t>
      </w:r>
      <w:r w:rsidR="001179BD" w:rsidRPr="001179BD">
        <w:rPr>
          <w:lang w:val="en-GB"/>
        </w:rPr>
        <w:t>AsO</w:t>
      </w:r>
      <w:r w:rsidR="001179BD" w:rsidRPr="00114B89">
        <w:rPr>
          <w:vertAlign w:val="subscript"/>
          <w:lang w:val="en-GB"/>
        </w:rPr>
        <w:t>4</w:t>
      </w:r>
      <w:r w:rsidR="001179BD">
        <w:rPr>
          <w:lang w:val="en-GB"/>
        </w:rPr>
        <w:t xml:space="preserve">) inside 50 mL glass bottles, under constant magnetic stirring and 25 </w:t>
      </w:r>
      <w:r w:rsidR="001179BD">
        <w:rPr>
          <w:rFonts w:cs="Arial"/>
          <w:lang w:val="en-GB"/>
        </w:rPr>
        <w:t>±</w:t>
      </w:r>
      <w:r w:rsidR="001179BD">
        <w:rPr>
          <w:lang w:val="en-GB"/>
        </w:rPr>
        <w:t xml:space="preserve"> 3 °C. The pH was periodically controlled </w:t>
      </w:r>
      <w:r w:rsidR="00B07B2B">
        <w:rPr>
          <w:lang w:val="en-GB"/>
        </w:rPr>
        <w:t xml:space="preserve">with a </w:t>
      </w:r>
      <w:proofErr w:type="spellStart"/>
      <w:r w:rsidR="00B07B2B">
        <w:rPr>
          <w:lang w:val="en-GB"/>
        </w:rPr>
        <w:t>pHmeter</w:t>
      </w:r>
      <w:proofErr w:type="spellEnd"/>
      <w:r w:rsidR="00B07B2B">
        <w:rPr>
          <w:lang w:val="en-GB"/>
        </w:rPr>
        <w:t xml:space="preserve"> </w:t>
      </w:r>
      <w:r w:rsidR="001179BD">
        <w:rPr>
          <w:lang w:val="en-GB"/>
        </w:rPr>
        <w:t xml:space="preserve">at 5.0 </w:t>
      </w:r>
      <w:r w:rsidR="001179BD">
        <w:rPr>
          <w:rFonts w:cs="Arial"/>
          <w:lang w:val="en-GB"/>
        </w:rPr>
        <w:t>±</w:t>
      </w:r>
      <w:r w:rsidR="001179BD">
        <w:rPr>
          <w:lang w:val="en-GB"/>
        </w:rPr>
        <w:t xml:space="preserve"> 0.2 by adding </w:t>
      </w:r>
      <w:r w:rsidR="008E6279">
        <w:rPr>
          <w:lang w:val="en-GB"/>
        </w:rPr>
        <w:t xml:space="preserve">aliquots </w:t>
      </w:r>
      <w:r w:rsidR="009C6156">
        <w:rPr>
          <w:lang w:val="en-GB"/>
        </w:rPr>
        <w:t xml:space="preserve">of 0.1 M </w:t>
      </w:r>
      <w:r w:rsidR="001179BD">
        <w:rPr>
          <w:lang w:val="en-GB"/>
        </w:rPr>
        <w:t>HCl</w:t>
      </w:r>
      <w:r w:rsidR="009C6156">
        <w:rPr>
          <w:lang w:val="en-GB"/>
        </w:rPr>
        <w:t>. A</w:t>
      </w:r>
      <w:r w:rsidR="001179BD">
        <w:rPr>
          <w:lang w:val="en-GB"/>
        </w:rPr>
        <w:t xml:space="preserve"> sample was collected (by centrifugation at 4</w:t>
      </w:r>
      <w:r w:rsidR="008E6279">
        <w:rPr>
          <w:lang w:val="en-GB"/>
        </w:rPr>
        <w:t>,</w:t>
      </w:r>
      <w:r w:rsidR="001179BD">
        <w:rPr>
          <w:lang w:val="en-GB"/>
        </w:rPr>
        <w:t xml:space="preserve">500 rpm) after </w:t>
      </w:r>
      <w:r w:rsidR="009C6156">
        <w:rPr>
          <w:lang w:val="en-GB"/>
        </w:rPr>
        <w:t>24</w:t>
      </w:r>
      <w:r w:rsidR="001179BD">
        <w:rPr>
          <w:lang w:val="en-GB"/>
        </w:rPr>
        <w:t xml:space="preserve"> h </w:t>
      </w:r>
      <w:r w:rsidR="004B3E20">
        <w:rPr>
          <w:lang w:val="en-GB"/>
        </w:rPr>
        <w:t>for analysis</w:t>
      </w:r>
      <w:r w:rsidR="001179BD">
        <w:rPr>
          <w:lang w:val="en-GB"/>
        </w:rPr>
        <w:t xml:space="preserve">. </w:t>
      </w:r>
      <w:r w:rsidR="00B07B2B" w:rsidRPr="00B07B2B">
        <w:rPr>
          <w:lang w:val="en-GB"/>
        </w:rPr>
        <w:t>As</w:t>
      </w:r>
      <w:r w:rsidR="004941CD">
        <w:rPr>
          <w:lang w:val="en-GB"/>
        </w:rPr>
        <w:t xml:space="preserve">, </w:t>
      </w:r>
      <w:r w:rsidR="004941CD" w:rsidRPr="004941CD">
        <w:rPr>
          <w:lang w:val="en-GB"/>
        </w:rPr>
        <w:t xml:space="preserve">Na, K, C, Si and Fe </w:t>
      </w:r>
      <w:r w:rsidR="00B07B2B" w:rsidRPr="00B07B2B">
        <w:rPr>
          <w:lang w:val="en-GB"/>
        </w:rPr>
        <w:t>concentration w</w:t>
      </w:r>
      <w:r w:rsidR="004941CD">
        <w:rPr>
          <w:lang w:val="en-GB"/>
        </w:rPr>
        <w:t>ere</w:t>
      </w:r>
      <w:r w:rsidR="00B07B2B" w:rsidRPr="00B07B2B">
        <w:rPr>
          <w:lang w:val="en-GB"/>
        </w:rPr>
        <w:t xml:space="preserve"> determined by inductively coupled plasma optical emission spectrometry (ICP-OES; Vista MPX CCD Simultaneous, Varian</w:t>
      </w:r>
      <w:r w:rsidR="00B07B2B">
        <w:rPr>
          <w:lang w:val="en-GB"/>
        </w:rPr>
        <w:t xml:space="preserve">) as described previously (Di Caprio et al. 2022). </w:t>
      </w:r>
      <w:r w:rsidR="00901245">
        <w:rPr>
          <w:lang w:val="en-GB"/>
        </w:rPr>
        <w:t xml:space="preserve">The </w:t>
      </w:r>
      <w:proofErr w:type="spellStart"/>
      <w:r w:rsidR="00DB225E">
        <w:rPr>
          <w:lang w:val="en-GB"/>
        </w:rPr>
        <w:t>q</w:t>
      </w:r>
      <w:r w:rsidR="00DF39F4" w:rsidRPr="00114B89">
        <w:rPr>
          <w:vertAlign w:val="subscript"/>
          <w:lang w:val="en-GB"/>
        </w:rPr>
        <w:t>As</w:t>
      </w:r>
      <w:proofErr w:type="spellEnd"/>
      <w:r w:rsidR="00DB225E">
        <w:rPr>
          <w:lang w:val="en-GB"/>
        </w:rPr>
        <w:t xml:space="preserve"> was determined by </w:t>
      </w:r>
      <w:proofErr w:type="spellStart"/>
      <w:r w:rsidR="00901245">
        <w:rPr>
          <w:lang w:val="en-GB"/>
        </w:rPr>
        <w:t>Eq</w:t>
      </w:r>
      <w:proofErr w:type="spellEnd"/>
      <w:r w:rsidR="00DB225E">
        <w:rPr>
          <w:lang w:val="en-GB"/>
        </w:rPr>
        <w:t xml:space="preserve"> </w:t>
      </w:r>
      <w:r w:rsidR="00901245">
        <w:rPr>
          <w:lang w:val="en-GB"/>
        </w:rPr>
        <w:t>(</w:t>
      </w:r>
      <w:r w:rsidR="00DB225E">
        <w:rPr>
          <w:lang w:val="en-GB"/>
        </w:rPr>
        <w:t>1</w:t>
      </w:r>
      <w:r w:rsidR="00901245">
        <w:rPr>
          <w:lang w:val="en-GB"/>
        </w:rPr>
        <w:t>)</w:t>
      </w:r>
      <w:r w:rsidR="00DB225E">
        <w:rPr>
          <w:lang w:val="en-GB"/>
        </w:rPr>
        <w:t>:</w:t>
      </w:r>
    </w:p>
    <w:p w14:paraId="3AE2E30C" w14:textId="77777777" w:rsidR="00DB225E" w:rsidRDefault="006302DB" w:rsidP="00114B89">
      <w:pPr>
        <w:pStyle w:val="CETEquation"/>
      </w:pPr>
      <m:oMath>
        <m:sSub>
          <m:sSubPr>
            <m:ctrlPr>
              <w:rPr>
                <w:rFonts w:ascii="Cambria Math" w:hAnsi="Cambria Math"/>
                <w:i/>
              </w:rPr>
            </m:ctrlPr>
          </m:sSubPr>
          <m:e>
            <m:r>
              <w:rPr>
                <w:rFonts w:ascii="Cambria Math" w:hAnsi="Cambria Math"/>
              </w:rPr>
              <m:t>q</m:t>
            </m:r>
          </m:e>
          <m:sub>
            <m:r>
              <w:rPr>
                <w:rFonts w:ascii="Cambria Math" w:hAnsi="Cambria Math"/>
              </w:rPr>
              <m:t>As</m:t>
            </m:r>
          </m:sub>
        </m:sSub>
        <m:r>
          <w:rPr>
            <w:rFonts w:ascii="Cambria Math" w:hAnsi="Cambria Math"/>
          </w:rPr>
          <m:t xml:space="preserve">= </m:t>
        </m:r>
        <m:f>
          <m:fPr>
            <m:ctrlPr>
              <w:rPr>
                <w:rFonts w:ascii="Cambria Math" w:hAnsi="Cambria Math"/>
                <w:i/>
              </w:rPr>
            </m:ctrlPr>
          </m:fPr>
          <m:num>
            <m:r>
              <w:rPr>
                <w:rFonts w:ascii="Cambria Math" w:hAnsi="Cambria Math"/>
              </w:rPr>
              <m:t xml:space="preserve">V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m:t>
                    </m:r>
                  </m:sub>
                </m:sSub>
              </m:e>
            </m:d>
          </m:num>
          <m:den>
            <m:sSub>
              <m:sSubPr>
                <m:ctrlPr>
                  <w:rPr>
                    <w:rFonts w:ascii="Cambria Math" w:hAnsi="Cambria Math"/>
                    <w:i/>
                  </w:rPr>
                </m:ctrlPr>
              </m:sSubPr>
              <m:e>
                <m:r>
                  <w:rPr>
                    <w:rFonts w:ascii="Cambria Math" w:hAnsi="Cambria Math"/>
                  </w:rPr>
                  <m:t>m</m:t>
                </m:r>
              </m:e>
              <m:sub>
                <m:r>
                  <w:rPr>
                    <w:rFonts w:ascii="Cambria Math" w:hAnsi="Cambria Math"/>
                  </w:rPr>
                  <m:t>f</m:t>
                </m:r>
              </m:sub>
            </m:sSub>
          </m:den>
        </m:f>
      </m:oMath>
      <w:r w:rsidR="00DB225E">
        <w:t xml:space="preserve">                                                                                                                                                  (1)</w:t>
      </w:r>
    </w:p>
    <w:p w14:paraId="2D2D09F1" w14:textId="3D9B0340" w:rsidR="004664AC" w:rsidRPr="00114B89" w:rsidRDefault="00DB225E" w:rsidP="00374EAA">
      <w:pPr>
        <w:pStyle w:val="CETBodytext"/>
        <w:rPr>
          <w:lang w:val="en-GB"/>
        </w:rPr>
      </w:pPr>
      <w:r>
        <w:rPr>
          <w:lang w:val="en-GB"/>
        </w:rPr>
        <w:t>With V the suspension volume, C</w:t>
      </w:r>
      <w:r w:rsidRPr="00114B89">
        <w:rPr>
          <w:vertAlign w:val="subscript"/>
        </w:rPr>
        <w:t>0</w:t>
      </w:r>
      <w:r>
        <w:rPr>
          <w:lang w:val="en-GB"/>
        </w:rPr>
        <w:t xml:space="preserve"> and C</w:t>
      </w:r>
      <w:r w:rsidRPr="00114B89">
        <w:rPr>
          <w:vertAlign w:val="subscript"/>
        </w:rPr>
        <w:t>f</w:t>
      </w:r>
      <w:r>
        <w:rPr>
          <w:lang w:val="en-GB"/>
        </w:rPr>
        <w:t xml:space="preserve"> initial and final </w:t>
      </w:r>
      <w:proofErr w:type="gramStart"/>
      <w:r>
        <w:rPr>
          <w:lang w:val="en-GB"/>
        </w:rPr>
        <w:t>As</w:t>
      </w:r>
      <w:proofErr w:type="gramEnd"/>
      <w:r>
        <w:rPr>
          <w:lang w:val="en-GB"/>
        </w:rPr>
        <w:t xml:space="preserve"> concentration and </w:t>
      </w:r>
      <w:r w:rsidR="00873DBB">
        <w:rPr>
          <w:lang w:val="en-GB"/>
        </w:rPr>
        <w:t>m</w:t>
      </w:r>
      <w:r w:rsidR="00873DBB" w:rsidRPr="00114B89">
        <w:rPr>
          <w:vertAlign w:val="subscript"/>
        </w:rPr>
        <w:t>f</w:t>
      </w:r>
      <w:r w:rsidR="00873DBB">
        <w:rPr>
          <w:lang w:val="en-GB"/>
        </w:rPr>
        <w:t xml:space="preserve"> </w:t>
      </w:r>
      <w:r>
        <w:rPr>
          <w:lang w:val="en-GB"/>
        </w:rPr>
        <w:t xml:space="preserve">the </w:t>
      </w:r>
      <w:r w:rsidR="00873DBB">
        <w:rPr>
          <w:lang w:val="en-GB"/>
        </w:rPr>
        <w:t xml:space="preserve">final </w:t>
      </w:r>
      <w:r>
        <w:rPr>
          <w:lang w:val="en-GB"/>
        </w:rPr>
        <w:t>mass of the adsorbent.</w:t>
      </w:r>
      <w:r w:rsidR="00873DBB">
        <w:rPr>
          <w:lang w:val="en-GB"/>
        </w:rPr>
        <w:t xml:space="preserve"> </w:t>
      </w:r>
      <w:r>
        <w:rPr>
          <w:lang w:val="en-GB"/>
        </w:rPr>
        <w:t xml:space="preserve">At the end of the adsorption test, </w:t>
      </w:r>
      <w:r w:rsidR="00873DBB">
        <w:rPr>
          <w:lang w:val="en-GB"/>
        </w:rPr>
        <w:t>m</w:t>
      </w:r>
      <w:r w:rsidR="00873DBB" w:rsidRPr="00114B89">
        <w:rPr>
          <w:vertAlign w:val="subscript"/>
        </w:rPr>
        <w:t>f</w:t>
      </w:r>
      <w:r w:rsidR="00873DBB">
        <w:rPr>
          <w:lang w:val="en-GB"/>
        </w:rPr>
        <w:t xml:space="preserve"> was measured</w:t>
      </w:r>
      <w:r>
        <w:rPr>
          <w:lang w:val="en-GB"/>
        </w:rPr>
        <w:t xml:space="preserve"> by filtering the whole suspension through </w:t>
      </w:r>
      <w:r w:rsidRPr="00DB225E">
        <w:rPr>
          <w:lang w:val="en-GB"/>
        </w:rPr>
        <w:t xml:space="preserve">0.7 </w:t>
      </w:r>
      <w:proofErr w:type="spellStart"/>
      <w:r w:rsidRPr="00DB225E">
        <w:rPr>
          <w:lang w:val="en-GB"/>
        </w:rPr>
        <w:t>μm</w:t>
      </w:r>
      <w:proofErr w:type="spellEnd"/>
      <w:r w:rsidRPr="00DB225E">
        <w:rPr>
          <w:lang w:val="en-GB"/>
        </w:rPr>
        <w:t xml:space="preserve"> glass </w:t>
      </w:r>
      <w:proofErr w:type="spellStart"/>
      <w:r w:rsidRPr="00DB225E">
        <w:rPr>
          <w:lang w:val="en-GB"/>
        </w:rPr>
        <w:t>fiber</w:t>
      </w:r>
      <w:proofErr w:type="spellEnd"/>
      <w:r w:rsidRPr="00DB225E">
        <w:rPr>
          <w:lang w:val="en-GB"/>
        </w:rPr>
        <w:t xml:space="preserve"> filters</w:t>
      </w:r>
      <w:r>
        <w:rPr>
          <w:lang w:val="en-GB"/>
        </w:rPr>
        <w:t xml:space="preserve"> </w:t>
      </w:r>
      <w:r w:rsidR="004B3E20">
        <w:rPr>
          <w:lang w:val="en-GB"/>
        </w:rPr>
        <w:t xml:space="preserve">and </w:t>
      </w:r>
      <w:r>
        <w:rPr>
          <w:lang w:val="en-GB"/>
        </w:rPr>
        <w:t>drying at 105 °C</w:t>
      </w:r>
      <w:r w:rsidR="00873DBB">
        <w:rPr>
          <w:lang w:val="en-GB"/>
        </w:rPr>
        <w:t>. Adsorbent</w:t>
      </w:r>
      <w:r w:rsidR="000F3657">
        <w:rPr>
          <w:lang w:val="en-GB"/>
        </w:rPr>
        <w:t xml:space="preserve"> </w:t>
      </w:r>
      <w:r w:rsidR="000F3657" w:rsidRPr="007E79A4">
        <w:rPr>
          <w:highlight w:val="yellow"/>
          <w:lang w:val="en-GB"/>
        </w:rPr>
        <w:t>water</w:t>
      </w:r>
      <w:r w:rsidR="00693FF8" w:rsidRPr="007E79A4">
        <w:rPr>
          <w:highlight w:val="yellow"/>
          <w:lang w:val="en-GB"/>
        </w:rPr>
        <w:t xml:space="preserve"> </w:t>
      </w:r>
      <w:r w:rsidRPr="007E79A4">
        <w:rPr>
          <w:highlight w:val="yellow"/>
          <w:lang w:val="en-GB"/>
        </w:rPr>
        <w:t>stability</w:t>
      </w:r>
      <w:r>
        <w:rPr>
          <w:lang w:val="en-GB"/>
        </w:rPr>
        <w:t xml:space="preserve"> </w:t>
      </w:r>
      <w:r w:rsidR="00873DBB">
        <w:rPr>
          <w:lang w:val="en-GB"/>
        </w:rPr>
        <w:t xml:space="preserve">was </w:t>
      </w:r>
      <w:r w:rsidR="00557C2D">
        <w:rPr>
          <w:lang w:val="en-GB"/>
        </w:rPr>
        <w:t>measured as mg/g mass los</w:t>
      </w:r>
      <w:r w:rsidR="00901245">
        <w:rPr>
          <w:lang w:val="en-GB"/>
        </w:rPr>
        <w:t>t</w:t>
      </w:r>
      <w:r w:rsidR="00557C2D">
        <w:rPr>
          <w:lang w:val="en-GB"/>
        </w:rPr>
        <w:t xml:space="preserve"> </w:t>
      </w:r>
      <w:r w:rsidR="00130ABF">
        <w:rPr>
          <w:lang w:val="en-GB"/>
        </w:rPr>
        <w:t xml:space="preserve">by </w:t>
      </w:r>
      <w:proofErr w:type="spellStart"/>
      <w:proofErr w:type="gramStart"/>
      <w:r w:rsidR="00901245">
        <w:rPr>
          <w:lang w:val="en-GB"/>
        </w:rPr>
        <w:t>Eq</w:t>
      </w:r>
      <w:proofErr w:type="spellEnd"/>
      <w:r w:rsidR="00901245">
        <w:rPr>
          <w:lang w:val="en-GB"/>
        </w:rPr>
        <w:t>(</w:t>
      </w:r>
      <w:proofErr w:type="gramEnd"/>
      <w:r w:rsidR="00130ABF">
        <w:rPr>
          <w:lang w:val="en-GB"/>
        </w:rPr>
        <w:t>2</w:t>
      </w:r>
      <w:r w:rsidR="00901245">
        <w:rPr>
          <w:lang w:val="en-GB"/>
        </w:rPr>
        <w:t>)</w:t>
      </w:r>
      <w:r w:rsidR="00557C2D">
        <w:rPr>
          <w:lang w:val="en-GB"/>
        </w:rPr>
        <w:t xml:space="preserve">. </w:t>
      </w:r>
      <w:r w:rsidR="00F560EE">
        <w:rPr>
          <w:lang w:val="en-GB"/>
        </w:rPr>
        <w:t xml:space="preserve">The contribution to </w:t>
      </w:r>
      <w:r w:rsidR="00F560EE">
        <w:rPr>
          <w:rFonts w:cs="Arial"/>
          <w:lang w:val="en-GB"/>
        </w:rPr>
        <w:t>Δ</w:t>
      </w:r>
      <w:r w:rsidR="00F560EE" w:rsidRPr="00114B89">
        <w:rPr>
          <w:vertAlign w:val="subscript"/>
        </w:rPr>
        <w:t>m</w:t>
      </w:r>
      <w:r w:rsidR="00F560EE">
        <w:rPr>
          <w:lang w:val="en-GB"/>
        </w:rPr>
        <w:t xml:space="preserve"> by the different element</w:t>
      </w:r>
      <w:r w:rsidR="00901245">
        <w:rPr>
          <w:lang w:val="en-GB"/>
        </w:rPr>
        <w:t>s</w:t>
      </w:r>
      <w:r w:rsidR="00F560EE">
        <w:rPr>
          <w:lang w:val="en-GB"/>
        </w:rPr>
        <w:t xml:space="preserve"> measured in solution was quantified by </w:t>
      </w:r>
      <w:proofErr w:type="spellStart"/>
      <w:proofErr w:type="gramStart"/>
      <w:r w:rsidR="00901245">
        <w:rPr>
          <w:lang w:val="en-GB"/>
        </w:rPr>
        <w:t>Eq</w:t>
      </w:r>
      <w:proofErr w:type="spellEnd"/>
      <w:r w:rsidR="00901245">
        <w:rPr>
          <w:lang w:val="en-GB"/>
        </w:rPr>
        <w:t>(</w:t>
      </w:r>
      <w:proofErr w:type="gramEnd"/>
      <w:r w:rsidR="00F560EE">
        <w:rPr>
          <w:lang w:val="en-GB"/>
        </w:rPr>
        <w:t>3</w:t>
      </w:r>
      <w:r w:rsidR="00901245">
        <w:rPr>
          <w:lang w:val="en-GB"/>
        </w:rPr>
        <w:t>)</w:t>
      </w:r>
      <w:r w:rsidR="00F560EE">
        <w:rPr>
          <w:lang w:val="en-GB"/>
        </w:rPr>
        <w:t>.</w:t>
      </w:r>
    </w:p>
    <w:p w14:paraId="33E34070" w14:textId="77777777" w:rsidR="00130ABF" w:rsidRDefault="006302DB" w:rsidP="00114B89">
      <w:pPr>
        <w:pStyle w:val="CETEquation"/>
      </w:pPr>
      <m:oMath>
        <m:sSub>
          <m:sSubPr>
            <m:ctrlPr>
              <w:rPr>
                <w:rFonts w:ascii="Cambria Math" w:hAnsi="Cambria Math"/>
                <w:i/>
              </w:rPr>
            </m:ctrlPr>
          </m:sSubPr>
          <m:e>
            <m:r>
              <w:rPr>
                <w:rFonts w:ascii="Cambria Math" w:hAnsi="Cambria Math"/>
              </w:rPr>
              <m:t>∆</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f</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oMath>
      <w:r w:rsidR="00130ABF">
        <w:t xml:space="preserve">                                                                                                                                          </w:t>
      </w:r>
      <w:r w:rsidR="004C6570">
        <w:t xml:space="preserve">       </w:t>
      </w:r>
      <w:r w:rsidR="00F5341C">
        <w:t xml:space="preserve">    </w:t>
      </w:r>
      <w:r w:rsidR="004C6570">
        <w:t xml:space="preserve"> </w:t>
      </w:r>
      <w:r w:rsidR="00130ABF">
        <w:t>(2)</w:t>
      </w:r>
    </w:p>
    <w:p w14:paraId="302BD305" w14:textId="77777777" w:rsidR="00F560EE" w:rsidRDefault="006302DB" w:rsidP="00114B89">
      <w:pPr>
        <w:pStyle w:val="CETEquation"/>
      </w:pPr>
      <m:oMath>
        <m:sSub>
          <m:sSubPr>
            <m:ctrlPr>
              <w:rPr>
                <w:rFonts w:ascii="Cambria Math" w:hAnsi="Cambria Math"/>
                <w:i/>
              </w:rPr>
            </m:ctrlPr>
          </m:sSubPr>
          <m:e>
            <m:r>
              <w:rPr>
                <w:rFonts w:ascii="Cambria Math" w:hAnsi="Cambria Math"/>
              </w:rPr>
              <m:t>∆</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 (C</m:t>
                </m:r>
              </m:e>
              <m:sub>
                <m:r>
                  <w:rPr>
                    <w:rFonts w:ascii="Cambria Math" w:hAnsi="Cambria Math"/>
                  </w:rPr>
                  <m:t>i,f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i,0</m:t>
                </m:r>
              </m:sub>
            </m:sSub>
            <m:r>
              <w:rPr>
                <w:rFonts w:ascii="Cambria Math" w:hAnsi="Cambria Math"/>
              </w:rPr>
              <m:t>)</m:t>
            </m:r>
          </m:num>
          <m:den>
            <m:sSub>
              <m:sSubPr>
                <m:ctrlPr>
                  <w:rPr>
                    <w:rFonts w:ascii="Cambria Math" w:hAnsi="Cambria Math"/>
                    <w:i/>
                  </w:rPr>
                </m:ctrlPr>
              </m:sSubPr>
              <m:e>
                <m:r>
                  <w:rPr>
                    <w:rFonts w:ascii="Cambria Math" w:hAnsi="Cambria Math"/>
                  </w:rPr>
                  <m:t>m</m:t>
                </m:r>
              </m:e>
              <m:sub>
                <m:r>
                  <w:rPr>
                    <w:rFonts w:ascii="Cambria Math" w:hAnsi="Cambria Math"/>
                  </w:rPr>
                  <m:t>0</m:t>
                </m:r>
              </m:sub>
            </m:sSub>
          </m:den>
        </m:f>
      </m:oMath>
      <w:r w:rsidR="00F560EE">
        <w:t xml:space="preserve">                                                                                                                                    </w:t>
      </w:r>
      <w:r w:rsidR="004C6570">
        <w:t xml:space="preserve">     </w:t>
      </w:r>
      <w:r w:rsidR="00F5341C">
        <w:t xml:space="preserve">  </w:t>
      </w:r>
      <w:r w:rsidR="004C6570">
        <w:t xml:space="preserve"> </w:t>
      </w:r>
      <w:r w:rsidR="00F5341C">
        <w:t xml:space="preserve">   </w:t>
      </w:r>
      <w:r w:rsidR="004C6570">
        <w:t xml:space="preserve">   </w:t>
      </w:r>
      <w:r w:rsidR="00F560EE">
        <w:t>(3)</w:t>
      </w:r>
    </w:p>
    <w:p w14:paraId="09507482" w14:textId="0B646B15" w:rsidR="00130ABF" w:rsidRPr="00130ABF" w:rsidRDefault="00F560EE" w:rsidP="00374EAA">
      <w:pPr>
        <w:pStyle w:val="CETBodytext"/>
        <w:rPr>
          <w:lang w:val="en-GB"/>
        </w:rPr>
      </w:pPr>
      <w:r>
        <w:rPr>
          <w:lang w:val="en-GB"/>
        </w:rPr>
        <w:t xml:space="preserve">With </w:t>
      </w:r>
      <w:proofErr w:type="spellStart"/>
      <w:proofErr w:type="gramStart"/>
      <w:r>
        <w:rPr>
          <w:lang w:val="en-GB"/>
        </w:rPr>
        <w:t>C</w:t>
      </w:r>
      <w:r w:rsidRPr="00114B89">
        <w:rPr>
          <w:vertAlign w:val="subscript"/>
          <w:lang w:val="en-GB"/>
        </w:rPr>
        <w:t>i,f</w:t>
      </w:r>
      <w:proofErr w:type="spellEnd"/>
      <w:proofErr w:type="gramEnd"/>
      <w:r w:rsidRPr="00114B89">
        <w:rPr>
          <w:vertAlign w:val="subscript"/>
          <w:lang w:val="en-GB"/>
        </w:rPr>
        <w:t xml:space="preserve"> </w:t>
      </w:r>
      <w:r>
        <w:rPr>
          <w:lang w:val="en-GB"/>
        </w:rPr>
        <w:t>and C</w:t>
      </w:r>
      <w:r w:rsidRPr="00114B89">
        <w:rPr>
          <w:vertAlign w:val="subscript"/>
          <w:lang w:val="en-GB"/>
        </w:rPr>
        <w:t xml:space="preserve">i,0 </w:t>
      </w:r>
      <w:r>
        <w:rPr>
          <w:lang w:val="en-GB"/>
        </w:rPr>
        <w:t xml:space="preserve">the concentration of the </w:t>
      </w:r>
      <w:proofErr w:type="spellStart"/>
      <w:r w:rsidRPr="00114B89">
        <w:rPr>
          <w:i/>
          <w:iCs/>
          <w:lang w:val="en-GB"/>
        </w:rPr>
        <w:t>i</w:t>
      </w:r>
      <w:proofErr w:type="spellEnd"/>
      <w:r>
        <w:rPr>
          <w:lang w:val="en-GB"/>
        </w:rPr>
        <w:t>-element (</w:t>
      </w:r>
      <w:r w:rsidRPr="00F560EE">
        <w:rPr>
          <w:lang w:val="en-GB"/>
        </w:rPr>
        <w:t>Na, K, C, Si</w:t>
      </w:r>
      <w:r>
        <w:rPr>
          <w:lang w:val="en-GB"/>
        </w:rPr>
        <w:t>,</w:t>
      </w:r>
      <w:r w:rsidRPr="00F560EE">
        <w:rPr>
          <w:lang w:val="en-GB"/>
        </w:rPr>
        <w:t xml:space="preserve"> Fe</w:t>
      </w:r>
      <w:r>
        <w:rPr>
          <w:lang w:val="en-GB"/>
        </w:rPr>
        <w:t>) at the end and beginning of the adsorption</w:t>
      </w:r>
      <w:r w:rsidR="00901245">
        <w:rPr>
          <w:lang w:val="en-GB"/>
        </w:rPr>
        <w:t xml:space="preserve"> test</w:t>
      </w:r>
      <w:r>
        <w:rPr>
          <w:lang w:val="en-GB"/>
        </w:rPr>
        <w:t>.</w:t>
      </w:r>
      <w:r w:rsidR="00901245">
        <w:rPr>
          <w:lang w:val="en-GB"/>
        </w:rPr>
        <w:t xml:space="preserve"> </w:t>
      </w:r>
      <w:r w:rsidR="00901245" w:rsidRPr="007E79A4">
        <w:rPr>
          <w:highlight w:val="yellow"/>
          <w:lang w:val="en-GB"/>
        </w:rPr>
        <w:t xml:space="preserve">The </w:t>
      </w:r>
      <w:r w:rsidR="00781445" w:rsidRPr="007E79A4">
        <w:rPr>
          <w:highlight w:val="yellow"/>
          <w:lang w:val="en-GB"/>
        </w:rPr>
        <w:t>acid-base reactivity</w:t>
      </w:r>
      <w:r w:rsidR="009C6156" w:rsidRPr="007E79A4">
        <w:rPr>
          <w:highlight w:val="yellow"/>
          <w:lang w:val="en-GB"/>
        </w:rPr>
        <w:t xml:space="preserve"> of the adsorbent was determined by measuring the</w:t>
      </w:r>
      <w:r w:rsidR="004B3E20" w:rsidRPr="007E79A4">
        <w:rPr>
          <w:highlight w:val="yellow"/>
          <w:lang w:val="en-GB"/>
        </w:rPr>
        <w:t xml:space="preserve"> HCl</w:t>
      </w:r>
      <w:r w:rsidR="004B3E20">
        <w:rPr>
          <w:lang w:val="en-GB"/>
        </w:rPr>
        <w:t xml:space="preserve"> (mg</w:t>
      </w:r>
      <w:r w:rsidR="00301D13">
        <w:rPr>
          <w:lang w:val="en-GB"/>
        </w:rPr>
        <w:t xml:space="preserve"> </w:t>
      </w:r>
      <w:r w:rsidR="004B3E20">
        <w:rPr>
          <w:lang w:val="en-GB"/>
        </w:rPr>
        <w:t>g</w:t>
      </w:r>
      <w:r w:rsidR="00301D13" w:rsidRPr="00CF4E64">
        <w:rPr>
          <w:vertAlign w:val="superscript"/>
          <w:lang w:val="en-GB"/>
        </w:rPr>
        <w:t>-1</w:t>
      </w:r>
      <w:r w:rsidR="004B3E20">
        <w:rPr>
          <w:lang w:val="en-GB"/>
        </w:rPr>
        <w:t xml:space="preserve">) and equivalent </w:t>
      </w:r>
      <w:r w:rsidR="009C6156">
        <w:rPr>
          <w:lang w:val="en-GB"/>
        </w:rPr>
        <w:t>mol of H</w:t>
      </w:r>
      <w:r w:rsidR="009C6156" w:rsidRPr="00114B89">
        <w:rPr>
          <w:vertAlign w:val="superscript"/>
          <w:lang w:val="en-GB"/>
        </w:rPr>
        <w:t>+</w:t>
      </w:r>
      <w:r w:rsidR="009C6156">
        <w:rPr>
          <w:lang w:val="en-GB"/>
        </w:rPr>
        <w:t xml:space="preserve"> (mol</w:t>
      </w:r>
      <w:r w:rsidR="00301D13">
        <w:rPr>
          <w:lang w:val="en-GB"/>
        </w:rPr>
        <w:t xml:space="preserve"> </w:t>
      </w:r>
      <w:r w:rsidR="009C6156">
        <w:rPr>
          <w:lang w:val="en-GB"/>
        </w:rPr>
        <w:t>g</w:t>
      </w:r>
      <w:r w:rsidR="00301D13" w:rsidRPr="00CF4E64">
        <w:rPr>
          <w:vertAlign w:val="superscript"/>
          <w:lang w:val="en-GB"/>
        </w:rPr>
        <w:t>-1</w:t>
      </w:r>
      <w:r w:rsidR="009C6156">
        <w:rPr>
          <w:lang w:val="en-GB"/>
        </w:rPr>
        <w:t>) added</w:t>
      </w:r>
      <w:r w:rsidR="004B3E20">
        <w:rPr>
          <w:lang w:val="en-GB"/>
        </w:rPr>
        <w:t xml:space="preserve"> per gram of adsorbent</w:t>
      </w:r>
      <w:r w:rsidR="009C6156">
        <w:rPr>
          <w:lang w:val="en-GB"/>
        </w:rPr>
        <w:t xml:space="preserve"> to attain a stable pH 5.0.</w:t>
      </w:r>
    </w:p>
    <w:p w14:paraId="6E924643" w14:textId="77777777" w:rsidR="00453E24" w:rsidRDefault="003501F5" w:rsidP="003501F5">
      <w:pPr>
        <w:pStyle w:val="CETHeading1"/>
      </w:pPr>
      <w:bookmarkStart w:id="8" w:name="_Hlk92468329"/>
      <w:r w:rsidRPr="003501F5">
        <w:t xml:space="preserve">Results and Discussion </w:t>
      </w:r>
    </w:p>
    <w:p w14:paraId="7C9E6A87" w14:textId="77777777" w:rsidR="000A5D60" w:rsidRDefault="00FF1CFF" w:rsidP="00C112C5">
      <w:pPr>
        <w:pStyle w:val="CETheadingx"/>
      </w:pPr>
      <w:r w:rsidRPr="000A5D60">
        <w:t xml:space="preserve">Preparation of </w:t>
      </w:r>
      <w:r w:rsidR="00563B0A" w:rsidRPr="000A5D60">
        <w:t>I</w:t>
      </w:r>
      <w:r w:rsidRPr="000A5D60">
        <w:t xml:space="preserve">ron </w:t>
      </w:r>
      <w:r w:rsidR="00563B0A" w:rsidRPr="000A5D60">
        <w:t>o</w:t>
      </w:r>
      <w:r w:rsidRPr="000A5D60">
        <w:t xml:space="preserve">xide </w:t>
      </w:r>
      <w:r w:rsidR="00563B0A" w:rsidRPr="000A5D60">
        <w:t>d</w:t>
      </w:r>
      <w:r w:rsidRPr="000A5D60">
        <w:t xml:space="preserve">oped </w:t>
      </w:r>
      <w:proofErr w:type="spellStart"/>
      <w:r w:rsidRPr="000A5D60">
        <w:t>Hydrochar</w:t>
      </w:r>
      <w:proofErr w:type="spellEnd"/>
      <w:r w:rsidRPr="000A5D60">
        <w:t xml:space="preserve"> </w:t>
      </w:r>
      <w:r w:rsidR="00563B0A" w:rsidRPr="000A5D60">
        <w:t>(IH)</w:t>
      </w:r>
    </w:p>
    <w:p w14:paraId="6469B65A" w14:textId="0A75F41D" w:rsidR="00C43096" w:rsidRDefault="000A5D60" w:rsidP="00453E24">
      <w:pPr>
        <w:pStyle w:val="CETBodytext"/>
      </w:pPr>
      <w:r>
        <w:t xml:space="preserve">The </w:t>
      </w:r>
      <w:r w:rsidR="00913DB8">
        <w:t>I</w:t>
      </w:r>
      <w:r>
        <w:t>H was produced with a whole yiel</w:t>
      </w:r>
      <w:r w:rsidR="00A35C0E">
        <w:t>d</w:t>
      </w:r>
      <w:r>
        <w:t xml:space="preserve"> (yield HTC </w:t>
      </w:r>
      <w:r w:rsidR="00901245">
        <w:rPr>
          <w:rFonts w:cs="Arial"/>
        </w:rPr>
        <w:t>∙</w:t>
      </w:r>
      <w:r>
        <w:t xml:space="preserve"> yield </w:t>
      </w:r>
      <w:r w:rsidR="00A35C0E">
        <w:t xml:space="preserve">precipitation) of 55 </w:t>
      </w:r>
      <w:r w:rsidR="00A35C0E">
        <w:rPr>
          <w:rFonts w:cs="Arial"/>
        </w:rPr>
        <w:t>±</w:t>
      </w:r>
      <w:r w:rsidR="00A35C0E">
        <w:t xml:space="preserve"> 6</w:t>
      </w:r>
      <w:r w:rsidR="00174C80">
        <w:t xml:space="preserve"> </w:t>
      </w:r>
      <w:r w:rsidR="00A35C0E">
        <w:t xml:space="preserve">%. </w:t>
      </w:r>
      <w:r w:rsidR="00D412BF">
        <w:t>In the conditions adopted for synthesis, Fe mainly precipitated as Fe</w:t>
      </w:r>
      <w:r w:rsidR="00D412BF" w:rsidRPr="00114B89">
        <w:rPr>
          <w:b/>
          <w:vertAlign w:val="subscript"/>
        </w:rPr>
        <w:t>3</w:t>
      </w:r>
      <w:r w:rsidR="00D412BF">
        <w:t>O</w:t>
      </w:r>
      <w:r w:rsidR="00D412BF" w:rsidRPr="00114B89">
        <w:rPr>
          <w:b/>
          <w:vertAlign w:val="subscript"/>
        </w:rPr>
        <w:t>4</w:t>
      </w:r>
      <w:r w:rsidR="00D412BF">
        <w:t xml:space="preserve"> (Di Caprio et al. 2022). </w:t>
      </w:r>
      <w:r w:rsidR="00A35C0E">
        <w:t xml:space="preserve">The </w:t>
      </w:r>
      <w:r w:rsidR="00913DB8">
        <w:t>I</w:t>
      </w:r>
      <w:r w:rsidR="00A35C0E">
        <w:t xml:space="preserve">H contained </w:t>
      </w:r>
      <w:r w:rsidR="008E52F1">
        <w:t xml:space="preserve">40 </w:t>
      </w:r>
      <w:r w:rsidR="008E52F1">
        <w:rPr>
          <w:rFonts w:cs="Arial"/>
        </w:rPr>
        <w:t>±</w:t>
      </w:r>
      <w:r w:rsidR="008E52F1">
        <w:t xml:space="preserve"> 7 mg</w:t>
      </w:r>
      <w:r w:rsidR="00C610C2">
        <w:t xml:space="preserve"> </w:t>
      </w:r>
      <w:r w:rsidR="008E52F1">
        <w:t>g</w:t>
      </w:r>
      <w:r w:rsidR="00CC4F80" w:rsidRPr="002B4FC5">
        <w:rPr>
          <w:vertAlign w:val="superscript"/>
        </w:rPr>
        <w:t>-1</w:t>
      </w:r>
      <w:r w:rsidR="008E52F1">
        <w:t xml:space="preserve"> of Fe</w:t>
      </w:r>
      <w:r w:rsidR="00D412BF">
        <w:t xml:space="preserve">, </w:t>
      </w:r>
      <w:r w:rsidR="008E52F1">
        <w:t xml:space="preserve">corresponding to 5.5 % </w:t>
      </w:r>
      <w:r w:rsidR="00D412BF">
        <w:t>by</w:t>
      </w:r>
      <w:r w:rsidR="008E52F1">
        <w:t xml:space="preserve"> weight of Fe</w:t>
      </w:r>
      <w:r w:rsidR="008E52F1" w:rsidRPr="00114B89">
        <w:rPr>
          <w:b/>
          <w:vertAlign w:val="subscript"/>
        </w:rPr>
        <w:t>3</w:t>
      </w:r>
      <w:r w:rsidR="008E52F1">
        <w:t>O</w:t>
      </w:r>
      <w:r w:rsidR="008E52F1" w:rsidRPr="00114B89">
        <w:rPr>
          <w:b/>
          <w:vertAlign w:val="subscript"/>
        </w:rPr>
        <w:t>4</w:t>
      </w:r>
      <w:r w:rsidR="008E52F1">
        <w:t>.</w:t>
      </w:r>
      <w:r w:rsidR="00D412BF">
        <w:t xml:space="preserve"> The Fe precipitation yield in the I</w:t>
      </w:r>
      <w:r w:rsidR="00913DB8">
        <w:t>H</w:t>
      </w:r>
      <w:r w:rsidR="00D412BF">
        <w:t xml:space="preserve"> was 70 </w:t>
      </w:r>
      <w:r w:rsidR="00D412BF">
        <w:rPr>
          <w:rFonts w:cs="Arial"/>
        </w:rPr>
        <w:t>±</w:t>
      </w:r>
      <w:r w:rsidR="00D412BF">
        <w:t xml:space="preserve"> 10</w:t>
      </w:r>
      <w:r w:rsidR="00174C80">
        <w:t xml:space="preserve"> </w:t>
      </w:r>
      <w:r w:rsidR="00D412BF">
        <w:t xml:space="preserve">%. </w:t>
      </w:r>
      <w:r w:rsidR="00901245">
        <w:t>The r</w:t>
      </w:r>
      <w:r w:rsidR="00D412BF">
        <w:t>eduction in Fe yield w</w:t>
      </w:r>
      <w:r w:rsidR="00901245">
        <w:t>as</w:t>
      </w:r>
      <w:r w:rsidR="00D412BF">
        <w:t xml:space="preserve"> mainly ascribable to Fe complexation with organic compounds released at the relatively high </w:t>
      </w:r>
      <w:proofErr w:type="spellStart"/>
      <w:r w:rsidR="00D412BF">
        <w:t>hydrochar</w:t>
      </w:r>
      <w:proofErr w:type="spellEnd"/>
      <w:r w:rsidR="00D412BF">
        <w:t xml:space="preserve"> concentration used (100 </w:t>
      </w:r>
      <w:r w:rsidR="00D412BF">
        <w:rPr>
          <w:rFonts w:cs="Arial"/>
        </w:rPr>
        <w:t>±</w:t>
      </w:r>
      <w:r w:rsidR="00D412BF">
        <w:t xml:space="preserve"> 20 g</w:t>
      </w:r>
      <w:r w:rsidR="00C610C2">
        <w:t xml:space="preserve"> </w:t>
      </w:r>
      <w:r w:rsidR="00D412BF">
        <w:t>L</w:t>
      </w:r>
      <w:r w:rsidR="00CC4F80" w:rsidRPr="002B4FC5">
        <w:rPr>
          <w:vertAlign w:val="superscript"/>
        </w:rPr>
        <w:t>-1</w:t>
      </w:r>
      <w:r w:rsidR="00D412BF">
        <w:t xml:space="preserve">). </w:t>
      </w:r>
    </w:p>
    <w:p w14:paraId="46857788" w14:textId="77777777" w:rsidR="00453E24" w:rsidRPr="00B57B36" w:rsidRDefault="00FF1CFF" w:rsidP="00C112C5">
      <w:pPr>
        <w:pStyle w:val="CETheadingx"/>
      </w:pPr>
      <w:r>
        <w:t>Granulation</w:t>
      </w:r>
    </w:p>
    <w:p w14:paraId="09477846" w14:textId="57F2E36F" w:rsidR="004C6570" w:rsidRDefault="008D6056" w:rsidP="00037430">
      <w:pPr>
        <w:pStyle w:val="CETBodytext"/>
        <w:rPr>
          <w:lang w:val="en-GB"/>
        </w:rPr>
      </w:pPr>
      <w:r w:rsidRPr="00037430">
        <w:rPr>
          <w:lang w:val="en-GB"/>
        </w:rPr>
        <w:t>To</w:t>
      </w:r>
      <w:r w:rsidR="00037430" w:rsidRPr="00037430">
        <w:rPr>
          <w:lang w:val="en-GB"/>
        </w:rPr>
        <w:t xml:space="preserve"> evaluate the adhesion capacity and aggregation potential of several </w:t>
      </w:r>
      <w:r w:rsidR="00D335FF">
        <w:rPr>
          <w:lang w:val="en-GB"/>
        </w:rPr>
        <w:t>binders</w:t>
      </w:r>
      <w:r w:rsidR="00037430" w:rsidRPr="00037430">
        <w:rPr>
          <w:lang w:val="en-GB"/>
        </w:rPr>
        <w:t xml:space="preserve">, of natural and synthetic origin, in a first moment, </w:t>
      </w:r>
      <w:proofErr w:type="gramStart"/>
      <w:r w:rsidR="00037430" w:rsidRPr="00037430">
        <w:rPr>
          <w:lang w:val="en-GB"/>
        </w:rPr>
        <w:t>as a result of</w:t>
      </w:r>
      <w:proofErr w:type="gramEnd"/>
      <w:r w:rsidR="00037430" w:rsidRPr="00037430">
        <w:rPr>
          <w:lang w:val="en-GB"/>
        </w:rPr>
        <w:t xml:space="preserve"> the small amount available of </w:t>
      </w:r>
      <w:r w:rsidR="00D335FF">
        <w:rPr>
          <w:lang w:val="en-GB"/>
        </w:rPr>
        <w:t>IH</w:t>
      </w:r>
      <w:r w:rsidR="006E0DAE" w:rsidRPr="007E79A4">
        <w:rPr>
          <w:highlight w:val="yellow"/>
        </w:rPr>
        <w:t xml:space="preserve">, a </w:t>
      </w:r>
      <w:r w:rsidR="00B857FD" w:rsidRPr="007E79A4">
        <w:rPr>
          <w:highlight w:val="yellow"/>
          <w:lang w:val="en-GB"/>
        </w:rPr>
        <w:t xml:space="preserve">preliminary </w:t>
      </w:r>
      <w:r w:rsidR="006E0DAE" w:rsidRPr="007E79A4">
        <w:rPr>
          <w:highlight w:val="yellow"/>
          <w:lang w:val="en-GB"/>
        </w:rPr>
        <w:t xml:space="preserve">screening </w:t>
      </w:r>
      <w:r w:rsidR="00B857FD" w:rsidRPr="007E79A4">
        <w:rPr>
          <w:highlight w:val="yellow"/>
          <w:lang w:val="en-GB"/>
        </w:rPr>
        <w:t>test</w:t>
      </w:r>
      <w:r w:rsidR="006E0DAE" w:rsidRPr="007E79A4">
        <w:rPr>
          <w:highlight w:val="yellow"/>
          <w:lang w:val="en-GB"/>
        </w:rPr>
        <w:t xml:space="preserve"> was</w:t>
      </w:r>
      <w:r w:rsidR="00037430" w:rsidRPr="00037430">
        <w:rPr>
          <w:lang w:val="en-GB"/>
        </w:rPr>
        <w:t xml:space="preserve"> performed with a commercial activated </w:t>
      </w:r>
      <w:r w:rsidR="00037430" w:rsidRPr="007E79A4">
        <w:rPr>
          <w:highlight w:val="yellow"/>
          <w:lang w:val="en-GB"/>
        </w:rPr>
        <w:t>carbon material</w:t>
      </w:r>
      <w:r w:rsidR="00037430" w:rsidRPr="00037430">
        <w:rPr>
          <w:lang w:val="en-GB"/>
        </w:rPr>
        <w:t xml:space="preserve"> of lignocellulosic origin</w:t>
      </w:r>
      <w:r w:rsidR="00037430">
        <w:rPr>
          <w:lang w:val="en-GB"/>
        </w:rPr>
        <w:t xml:space="preserve"> (</w:t>
      </w:r>
      <w:r w:rsidR="00D335FF">
        <w:rPr>
          <w:lang w:val="en-GB"/>
        </w:rPr>
        <w:t>V</w:t>
      </w:r>
      <w:r w:rsidR="00037430">
        <w:rPr>
          <w:lang w:val="en-GB"/>
        </w:rPr>
        <w:t>CA)</w:t>
      </w:r>
      <w:r w:rsidR="00037430" w:rsidRPr="00037430">
        <w:rPr>
          <w:lang w:val="en-GB"/>
        </w:rPr>
        <w:t xml:space="preserve">, of similar nature </w:t>
      </w:r>
      <w:r w:rsidR="00387414">
        <w:rPr>
          <w:lang w:val="en-GB"/>
        </w:rPr>
        <w:t>of</w:t>
      </w:r>
      <w:r w:rsidR="00037430" w:rsidRPr="00037430">
        <w:rPr>
          <w:lang w:val="en-GB"/>
        </w:rPr>
        <w:t xml:space="preserve"> the </w:t>
      </w:r>
      <w:r w:rsidR="004445CB">
        <w:rPr>
          <w:lang w:val="en-GB"/>
        </w:rPr>
        <w:t>IH</w:t>
      </w:r>
      <w:r w:rsidR="00037430" w:rsidRPr="00037430">
        <w:rPr>
          <w:lang w:val="en-GB"/>
        </w:rPr>
        <w:t xml:space="preserve">. Although the literature shows a reasonable number of binders that can be used </w:t>
      </w:r>
      <w:r w:rsidR="00387414">
        <w:rPr>
          <w:lang w:val="en-GB"/>
        </w:rPr>
        <w:t>for</w:t>
      </w:r>
      <w:r w:rsidR="00037430" w:rsidRPr="00037430">
        <w:rPr>
          <w:lang w:val="en-GB"/>
        </w:rPr>
        <w:t xml:space="preserve"> this type of powder, the available published procedures indicate the need for reasonably high amounts of binder, almost always higher than 30</w:t>
      </w:r>
      <w:r w:rsidR="004445CB">
        <w:rPr>
          <w:lang w:val="en-GB"/>
        </w:rPr>
        <w:t xml:space="preserve"> </w:t>
      </w:r>
      <w:r w:rsidR="00037430" w:rsidRPr="00037430">
        <w:rPr>
          <w:lang w:val="en-GB"/>
        </w:rPr>
        <w:t xml:space="preserve">% of the mass of the aggregate material and frequently </w:t>
      </w:r>
      <w:r w:rsidR="004445CB">
        <w:rPr>
          <w:lang w:val="en-GB"/>
        </w:rPr>
        <w:t xml:space="preserve">above 50 </w:t>
      </w:r>
      <w:r w:rsidR="00037430" w:rsidRPr="00037430">
        <w:rPr>
          <w:lang w:val="en-GB"/>
        </w:rPr>
        <w:t xml:space="preserve">%. On the other hand, the </w:t>
      </w:r>
      <w:r w:rsidR="00CD0809" w:rsidRPr="007E79A4">
        <w:rPr>
          <w:highlight w:val="yellow"/>
          <w:lang w:val="en-GB"/>
        </w:rPr>
        <w:t xml:space="preserve">mechanical </w:t>
      </w:r>
      <w:r w:rsidR="00037430" w:rsidRPr="007E79A4">
        <w:rPr>
          <w:highlight w:val="yellow"/>
          <w:lang w:val="en-GB"/>
        </w:rPr>
        <w:t>stability</w:t>
      </w:r>
      <w:r w:rsidR="00037430" w:rsidRPr="00037430">
        <w:rPr>
          <w:lang w:val="en-GB"/>
        </w:rPr>
        <w:t xml:space="preserve"> of the granulated material when submitted to thermal processes,</w:t>
      </w:r>
      <w:r w:rsidR="0071477F">
        <w:rPr>
          <w:lang w:val="en-GB"/>
        </w:rPr>
        <w:t xml:space="preserve"> </w:t>
      </w:r>
      <w:r w:rsidR="00037430" w:rsidRPr="00037430">
        <w:rPr>
          <w:lang w:val="en-GB"/>
        </w:rPr>
        <w:t>necessary for certain purposes, is often compromised</w:t>
      </w:r>
      <w:r w:rsidR="00022828">
        <w:rPr>
          <w:lang w:val="en-GB"/>
        </w:rPr>
        <w:t xml:space="preserve"> when the thermal treatment is superior to 250 ºC</w:t>
      </w:r>
      <w:r w:rsidR="00037430" w:rsidRPr="00037430">
        <w:rPr>
          <w:lang w:val="en-GB"/>
        </w:rPr>
        <w:t xml:space="preserve">. In this work, the selected binders and the results in the granulation, pre-drying and thermal activation phases are shown in </w:t>
      </w:r>
      <w:r w:rsidR="00387414">
        <w:rPr>
          <w:lang w:val="en-GB"/>
        </w:rPr>
        <w:t>T</w:t>
      </w:r>
      <w:r w:rsidR="00037430" w:rsidRPr="00037430">
        <w:rPr>
          <w:lang w:val="en-GB"/>
        </w:rPr>
        <w:t>able 1.</w:t>
      </w:r>
    </w:p>
    <w:p w14:paraId="1BED384F" w14:textId="575A9824" w:rsidR="0071477F" w:rsidRPr="00037430" w:rsidRDefault="0071477F" w:rsidP="00037430">
      <w:pPr>
        <w:pStyle w:val="CETBodytext"/>
        <w:rPr>
          <w:lang w:val="en-GB"/>
        </w:rPr>
      </w:pPr>
      <w:r w:rsidRPr="00C9118E">
        <w:t xml:space="preserve">The results show that most of the </w:t>
      </w:r>
      <w:r>
        <w:t xml:space="preserve">selected </w:t>
      </w:r>
      <w:r w:rsidRPr="00C9118E">
        <w:t>binders</w:t>
      </w:r>
      <w:r>
        <w:t xml:space="preserve">, </w:t>
      </w:r>
      <w:r w:rsidRPr="00C9118E">
        <w:t>when dispersed in spray</w:t>
      </w:r>
      <w:r>
        <w:t>,</w:t>
      </w:r>
      <w:r w:rsidRPr="00C9118E">
        <w:t xml:space="preserve"> can aggregate the adsorbent powder, which can be interpreted as a good capacity of adhesion and </w:t>
      </w:r>
      <w:r>
        <w:t xml:space="preserve">bonding </w:t>
      </w:r>
      <w:r w:rsidRPr="00C9118E">
        <w:t>of the binder under the conditions used (binder solutions with concentration up to 30</w:t>
      </w:r>
      <w:r>
        <w:t xml:space="preserve"> </w:t>
      </w:r>
      <w:r w:rsidRPr="00C9118E">
        <w:t xml:space="preserve">% w/V). However, in the pre-drying phase, some of these aggregates lose consistency, </w:t>
      </w:r>
      <w:r w:rsidR="00D47AFC" w:rsidRPr="00DB405E">
        <w:rPr>
          <w:highlight w:val="yellow"/>
        </w:rPr>
        <w:t>in result of the reduction of mechanical stability</w:t>
      </w:r>
      <w:r w:rsidRPr="00C9118E">
        <w:t xml:space="preserve">, </w:t>
      </w:r>
      <w:r w:rsidRPr="003F3CD9">
        <w:t>end</w:t>
      </w:r>
      <w:r>
        <w:t>ing</w:t>
      </w:r>
      <w:r w:rsidRPr="003F3CD9">
        <w:t xml:space="preserve"> up </w:t>
      </w:r>
      <w:r>
        <w:t xml:space="preserve">by </w:t>
      </w:r>
      <w:r w:rsidRPr="003F3CD9">
        <w:t>losing their</w:t>
      </w:r>
      <w:r>
        <w:t xml:space="preserve"> shape. </w:t>
      </w:r>
      <w:r w:rsidRPr="00C9118E">
        <w:t>This may be due to the weakening of the physical and chemical interaction</w:t>
      </w:r>
      <w:r>
        <w:t xml:space="preserve">s </w:t>
      </w:r>
      <w:r w:rsidRPr="00C9118E">
        <w:t>between binder and adsorbent, release of water and other gaseous compounds, lack of cross-linking</w:t>
      </w:r>
      <w:r>
        <w:t xml:space="preserve"> agents</w:t>
      </w:r>
      <w:r w:rsidRPr="00C9118E">
        <w:t xml:space="preserve">, among others. When the thermal activation process in controlled atmosphere was carried out at the studied temperature range (from 250 to 500 ºC), only the adsorbents prepared with sodium silicate continued to present the mechanical and dimensional resistance acceptable for use in the </w:t>
      </w:r>
      <w:r w:rsidR="000A3563" w:rsidRPr="00DB405E">
        <w:rPr>
          <w:highlight w:val="yellow"/>
        </w:rPr>
        <w:t>water</w:t>
      </w:r>
      <w:r w:rsidRPr="00C9118E">
        <w:t xml:space="preserve"> phase. In the case of sodium alginate and polyvinyl alcohol binders, </w:t>
      </w:r>
      <w:r w:rsidR="0069682F" w:rsidRPr="007E79A4">
        <w:rPr>
          <w:highlight w:val="yellow"/>
        </w:rPr>
        <w:t>those characteristics disappear</w:t>
      </w:r>
      <w:r w:rsidR="0069682F" w:rsidRPr="0069682F">
        <w:t xml:space="preserve"> </w:t>
      </w:r>
      <w:r w:rsidRPr="00C9118E">
        <w:t>when the maximum temperature exceeded 250 ºC.</w:t>
      </w:r>
    </w:p>
    <w:p w14:paraId="7695E82B" w14:textId="066F2645" w:rsidR="00772519" w:rsidRPr="00B57B36" w:rsidRDefault="00772519" w:rsidP="004C6570">
      <w:pPr>
        <w:pStyle w:val="CETTabletitle"/>
      </w:pPr>
      <w:bookmarkStart w:id="9" w:name="_Hlk92672733"/>
      <w:r w:rsidRPr="00B57B36">
        <w:lastRenderedPageBreak/>
        <w:t xml:space="preserve">Table 1: </w:t>
      </w:r>
      <w:r w:rsidR="0088258C">
        <w:t>E</w:t>
      </w:r>
      <w:r w:rsidR="0088258C" w:rsidRPr="0088258C">
        <w:t xml:space="preserve">valuation of the </w:t>
      </w:r>
      <w:r w:rsidR="0069682F" w:rsidRPr="007E79A4">
        <w:rPr>
          <w:highlight w:val="yellow"/>
        </w:rPr>
        <w:t xml:space="preserve">mechanical </w:t>
      </w:r>
      <w:r w:rsidR="0088258C" w:rsidRPr="007E79A4">
        <w:rPr>
          <w:highlight w:val="yellow"/>
        </w:rPr>
        <w:t>stability</w:t>
      </w:r>
      <w:r w:rsidR="0088258C" w:rsidRPr="0088258C">
        <w:t xml:space="preserve"> during the various stages of processing of the granulated adsorbent</w:t>
      </w:r>
      <w:r w:rsidR="001F34CF">
        <w:t xml:space="preserve"> by binder spray</w:t>
      </w:r>
      <w:r w:rsidR="004C6570">
        <w:t xml:space="preserve">. </w:t>
      </w:r>
      <w:r w:rsidR="004C6570">
        <w:sym w:font="Wingdings" w:char="F0FC"/>
      </w:r>
      <w:r w:rsidR="004C6570" w:rsidRPr="00E45210">
        <w:t xml:space="preserve"> </w:t>
      </w:r>
      <w:proofErr w:type="gramStart"/>
      <w:r w:rsidR="004C6570" w:rsidRPr="00E45210">
        <w:t>pass;</w:t>
      </w:r>
      <w:proofErr w:type="gramEnd"/>
      <w:r w:rsidR="004C6570" w:rsidRPr="00E45210">
        <w:t xml:space="preserve"> x don’t pass; +/- variabl</w:t>
      </w:r>
      <w:r w:rsidR="004C6570">
        <w:t>e.</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902"/>
        <w:gridCol w:w="1128"/>
        <w:gridCol w:w="1128"/>
        <w:gridCol w:w="1128"/>
      </w:tblGrid>
      <w:tr w:rsidR="00F864B0" w:rsidRPr="00B57B36" w14:paraId="74A15779" w14:textId="77777777" w:rsidTr="00C112C5">
        <w:trPr>
          <w:trHeight w:val="267"/>
        </w:trPr>
        <w:tc>
          <w:tcPr>
            <w:tcW w:w="2902" w:type="dxa"/>
            <w:tcBorders>
              <w:top w:val="single" w:sz="12" w:space="0" w:color="008000"/>
              <w:bottom w:val="single" w:sz="6" w:space="0" w:color="008000"/>
            </w:tcBorders>
            <w:shd w:val="clear" w:color="auto" w:fill="FFFFFF"/>
          </w:tcPr>
          <w:p w14:paraId="6FF89FAC" w14:textId="77777777" w:rsidR="00F864B0" w:rsidRPr="00B57B36" w:rsidRDefault="00F864B0" w:rsidP="00736A2D">
            <w:pPr>
              <w:pStyle w:val="CETBodytext"/>
              <w:rPr>
                <w:lang w:val="en-GB"/>
              </w:rPr>
            </w:pPr>
            <w:r>
              <w:rPr>
                <w:lang w:val="en-GB"/>
              </w:rPr>
              <w:t>Binder</w:t>
            </w:r>
            <w:r w:rsidRPr="00B57B36">
              <w:rPr>
                <w:lang w:val="en-GB"/>
              </w:rPr>
              <w:t xml:space="preserve"> </w:t>
            </w:r>
          </w:p>
        </w:tc>
        <w:tc>
          <w:tcPr>
            <w:tcW w:w="1128" w:type="dxa"/>
            <w:tcBorders>
              <w:top w:val="single" w:sz="12" w:space="0" w:color="008000"/>
              <w:bottom w:val="single" w:sz="6" w:space="0" w:color="008000"/>
            </w:tcBorders>
            <w:shd w:val="clear" w:color="auto" w:fill="FFFFFF"/>
          </w:tcPr>
          <w:p w14:paraId="3012729C" w14:textId="77777777" w:rsidR="00F864B0" w:rsidRPr="00B57B36" w:rsidRDefault="00F864B0" w:rsidP="00F864B0">
            <w:pPr>
              <w:pStyle w:val="CETBodytext"/>
              <w:jc w:val="center"/>
              <w:rPr>
                <w:lang w:val="en-GB"/>
              </w:rPr>
            </w:pPr>
            <w:r>
              <w:rPr>
                <w:lang w:val="en-GB"/>
              </w:rPr>
              <w:t>Granulation</w:t>
            </w:r>
          </w:p>
        </w:tc>
        <w:tc>
          <w:tcPr>
            <w:tcW w:w="1128" w:type="dxa"/>
            <w:tcBorders>
              <w:top w:val="single" w:sz="12" w:space="0" w:color="008000"/>
              <w:bottom w:val="single" w:sz="6" w:space="0" w:color="008000"/>
            </w:tcBorders>
            <w:shd w:val="clear" w:color="auto" w:fill="FFFFFF"/>
          </w:tcPr>
          <w:p w14:paraId="4EC39E84" w14:textId="77777777" w:rsidR="00F864B0" w:rsidRPr="00B57B36" w:rsidRDefault="00F864B0" w:rsidP="00F864B0">
            <w:pPr>
              <w:pStyle w:val="CETBodytext"/>
              <w:ind w:right="-1"/>
              <w:jc w:val="center"/>
              <w:rPr>
                <w:rFonts w:cs="Arial"/>
                <w:szCs w:val="18"/>
                <w:lang w:val="en-GB"/>
              </w:rPr>
            </w:pPr>
            <w:r>
              <w:rPr>
                <w:rFonts w:cs="Arial"/>
                <w:szCs w:val="18"/>
                <w:lang w:val="en-GB"/>
              </w:rPr>
              <w:t>Drying</w:t>
            </w:r>
          </w:p>
        </w:tc>
        <w:tc>
          <w:tcPr>
            <w:tcW w:w="1128" w:type="dxa"/>
            <w:tcBorders>
              <w:top w:val="single" w:sz="12" w:space="0" w:color="008000"/>
              <w:bottom w:val="single" w:sz="6" w:space="0" w:color="008000"/>
            </w:tcBorders>
            <w:shd w:val="clear" w:color="auto" w:fill="FFFFFF"/>
          </w:tcPr>
          <w:p w14:paraId="41A5119C" w14:textId="77777777" w:rsidR="00F864B0" w:rsidRPr="00B57B36" w:rsidRDefault="00F864B0" w:rsidP="00F864B0">
            <w:pPr>
              <w:pStyle w:val="CETBodytext"/>
              <w:ind w:right="-1"/>
              <w:jc w:val="center"/>
              <w:rPr>
                <w:rFonts w:cs="Arial"/>
                <w:szCs w:val="18"/>
                <w:lang w:val="en-GB"/>
              </w:rPr>
            </w:pPr>
            <w:r w:rsidRPr="00DE1F83">
              <w:rPr>
                <w:rFonts w:cs="Arial"/>
                <w:szCs w:val="18"/>
                <w:lang w:val="en-GB"/>
              </w:rPr>
              <w:t>Activation</w:t>
            </w:r>
          </w:p>
        </w:tc>
      </w:tr>
      <w:tr w:rsidR="00F864B0" w:rsidRPr="00B57B36" w14:paraId="65A17931" w14:textId="77777777" w:rsidTr="00C112C5">
        <w:trPr>
          <w:trHeight w:val="281"/>
        </w:trPr>
        <w:tc>
          <w:tcPr>
            <w:tcW w:w="2902" w:type="dxa"/>
            <w:shd w:val="clear" w:color="auto" w:fill="FFFFFF"/>
          </w:tcPr>
          <w:p w14:paraId="6CA5B9EF" w14:textId="77777777" w:rsidR="00F864B0" w:rsidRPr="00B57B36" w:rsidRDefault="006B686E" w:rsidP="00736A2D">
            <w:pPr>
              <w:pStyle w:val="CETBodytext"/>
              <w:rPr>
                <w:lang w:val="en-GB"/>
              </w:rPr>
            </w:pPr>
            <w:r>
              <w:rPr>
                <w:lang w:val="en-GB"/>
              </w:rPr>
              <w:t>Sodium a</w:t>
            </w:r>
            <w:r w:rsidR="00F864B0">
              <w:rPr>
                <w:lang w:val="en-GB"/>
              </w:rPr>
              <w:t>lginate</w:t>
            </w:r>
            <w:r w:rsidR="00AD7C2D">
              <w:rPr>
                <w:lang w:val="en-GB"/>
              </w:rPr>
              <w:t xml:space="preserve"> - SA</w:t>
            </w:r>
          </w:p>
        </w:tc>
        <w:tc>
          <w:tcPr>
            <w:tcW w:w="1128" w:type="dxa"/>
            <w:shd w:val="clear" w:color="auto" w:fill="FFFFFF"/>
          </w:tcPr>
          <w:p w14:paraId="2CDB0521" w14:textId="77777777" w:rsidR="00F864B0" w:rsidRPr="00B57B36" w:rsidRDefault="00F864B0" w:rsidP="008E675D">
            <w:pPr>
              <w:pStyle w:val="CETBodytext"/>
              <w:jc w:val="center"/>
              <w:rPr>
                <w:lang w:val="en-GB"/>
              </w:rPr>
            </w:pPr>
            <w:r>
              <w:rPr>
                <w:lang w:val="en-GB"/>
              </w:rPr>
              <w:sym w:font="Wingdings" w:char="F0FC"/>
            </w:r>
          </w:p>
        </w:tc>
        <w:tc>
          <w:tcPr>
            <w:tcW w:w="1128" w:type="dxa"/>
            <w:shd w:val="clear" w:color="auto" w:fill="FFFFFF"/>
          </w:tcPr>
          <w:p w14:paraId="69608DD7" w14:textId="77777777" w:rsidR="00F864B0" w:rsidRPr="00B57B36" w:rsidRDefault="001F34CF" w:rsidP="008E675D">
            <w:pPr>
              <w:pStyle w:val="CETBodytext"/>
              <w:ind w:right="-1"/>
              <w:jc w:val="center"/>
              <w:rPr>
                <w:rFonts w:cs="Arial"/>
                <w:szCs w:val="18"/>
                <w:lang w:val="en-GB"/>
              </w:rPr>
            </w:pPr>
            <w:r>
              <w:rPr>
                <w:lang w:val="en-GB"/>
              </w:rPr>
              <w:sym w:font="Wingdings" w:char="F0FC"/>
            </w:r>
          </w:p>
        </w:tc>
        <w:tc>
          <w:tcPr>
            <w:tcW w:w="1128" w:type="dxa"/>
            <w:shd w:val="clear" w:color="auto" w:fill="FFFFFF"/>
          </w:tcPr>
          <w:p w14:paraId="382E5C8E" w14:textId="77777777" w:rsidR="00F864B0" w:rsidRPr="00B57B36" w:rsidRDefault="00114582" w:rsidP="008E675D">
            <w:pPr>
              <w:pStyle w:val="CETBodytext"/>
              <w:ind w:right="-1"/>
              <w:jc w:val="center"/>
              <w:rPr>
                <w:rFonts w:cs="Arial"/>
                <w:szCs w:val="18"/>
                <w:lang w:val="en-GB"/>
              </w:rPr>
            </w:pPr>
            <w:r>
              <w:rPr>
                <w:rFonts w:cs="Arial"/>
                <w:szCs w:val="18"/>
                <w:lang w:val="en-GB"/>
              </w:rPr>
              <w:t>+/-</w:t>
            </w:r>
          </w:p>
        </w:tc>
      </w:tr>
      <w:tr w:rsidR="00F864B0" w:rsidRPr="00B57B36" w14:paraId="7749C810" w14:textId="77777777" w:rsidTr="00C112C5">
        <w:trPr>
          <w:trHeight w:val="281"/>
        </w:trPr>
        <w:tc>
          <w:tcPr>
            <w:tcW w:w="2902" w:type="dxa"/>
            <w:shd w:val="clear" w:color="auto" w:fill="FFFFFF"/>
          </w:tcPr>
          <w:p w14:paraId="7EB3432F" w14:textId="77777777" w:rsidR="00F864B0" w:rsidRPr="00B57B36" w:rsidRDefault="00F864B0" w:rsidP="00736A2D">
            <w:pPr>
              <w:pStyle w:val="CETBodytext"/>
              <w:rPr>
                <w:lang w:val="en-GB"/>
              </w:rPr>
            </w:pPr>
            <w:r w:rsidRPr="00EA3A7F">
              <w:rPr>
                <w:lang w:val="en-GB"/>
              </w:rPr>
              <w:t>Carboxymethyl cellulose</w:t>
            </w:r>
            <w:r w:rsidR="00AD7C2D">
              <w:rPr>
                <w:lang w:val="en-GB"/>
              </w:rPr>
              <w:t xml:space="preserve"> - CMC</w:t>
            </w:r>
          </w:p>
        </w:tc>
        <w:tc>
          <w:tcPr>
            <w:tcW w:w="1128" w:type="dxa"/>
            <w:shd w:val="clear" w:color="auto" w:fill="FFFFFF"/>
          </w:tcPr>
          <w:p w14:paraId="3E2561FA" w14:textId="77777777" w:rsidR="00F864B0" w:rsidRDefault="00F864B0" w:rsidP="008E675D">
            <w:pPr>
              <w:pStyle w:val="CETBodytext"/>
              <w:jc w:val="center"/>
              <w:rPr>
                <w:lang w:val="en-GB"/>
              </w:rPr>
            </w:pPr>
            <w:r>
              <w:rPr>
                <w:lang w:val="en-GB"/>
              </w:rPr>
              <w:sym w:font="Wingdings" w:char="F0FC"/>
            </w:r>
          </w:p>
        </w:tc>
        <w:tc>
          <w:tcPr>
            <w:tcW w:w="1128" w:type="dxa"/>
            <w:shd w:val="clear" w:color="auto" w:fill="FFFFFF"/>
          </w:tcPr>
          <w:p w14:paraId="3B2C900F" w14:textId="77777777" w:rsidR="00F864B0" w:rsidRPr="00B57B36" w:rsidRDefault="003617F1" w:rsidP="008E675D">
            <w:pPr>
              <w:pStyle w:val="CETBodytext"/>
              <w:ind w:right="-1"/>
              <w:jc w:val="center"/>
              <w:rPr>
                <w:rFonts w:cs="Arial"/>
                <w:szCs w:val="18"/>
                <w:lang w:val="en-GB"/>
              </w:rPr>
            </w:pPr>
            <w:r>
              <w:rPr>
                <w:rFonts w:cs="Arial"/>
                <w:szCs w:val="18"/>
                <w:lang w:val="en-GB"/>
              </w:rPr>
              <w:t>x</w:t>
            </w:r>
          </w:p>
        </w:tc>
        <w:tc>
          <w:tcPr>
            <w:tcW w:w="1128" w:type="dxa"/>
            <w:shd w:val="clear" w:color="auto" w:fill="FFFFFF"/>
          </w:tcPr>
          <w:p w14:paraId="379F59EE" w14:textId="77777777" w:rsidR="00F864B0" w:rsidRPr="00B57B36" w:rsidRDefault="00F864B0" w:rsidP="008E675D">
            <w:pPr>
              <w:pStyle w:val="CETBodytext"/>
              <w:ind w:right="-1"/>
              <w:jc w:val="center"/>
              <w:rPr>
                <w:rFonts w:cs="Arial"/>
                <w:szCs w:val="18"/>
                <w:lang w:val="en-GB"/>
              </w:rPr>
            </w:pPr>
            <w:r>
              <w:rPr>
                <w:rFonts w:cs="Arial"/>
                <w:szCs w:val="18"/>
                <w:lang w:val="en-GB"/>
              </w:rPr>
              <w:t>-</w:t>
            </w:r>
          </w:p>
        </w:tc>
      </w:tr>
      <w:tr w:rsidR="00F864B0" w:rsidRPr="00B57B36" w14:paraId="3BC490CF" w14:textId="77777777" w:rsidTr="00C112C5">
        <w:trPr>
          <w:trHeight w:val="281"/>
        </w:trPr>
        <w:tc>
          <w:tcPr>
            <w:tcW w:w="2902" w:type="dxa"/>
            <w:shd w:val="clear" w:color="auto" w:fill="FFFFFF"/>
          </w:tcPr>
          <w:p w14:paraId="648D0E63" w14:textId="77777777" w:rsidR="00F864B0" w:rsidRPr="00B57B36" w:rsidRDefault="00F864B0" w:rsidP="00736A2D">
            <w:pPr>
              <w:pStyle w:val="CETBodytext"/>
              <w:rPr>
                <w:lang w:val="en-GB"/>
              </w:rPr>
            </w:pPr>
            <w:r>
              <w:rPr>
                <w:lang w:val="en-GB"/>
              </w:rPr>
              <w:t>Chitosan</w:t>
            </w:r>
            <w:r w:rsidR="00AD7C2D">
              <w:rPr>
                <w:lang w:val="en-GB"/>
              </w:rPr>
              <w:t xml:space="preserve"> - CH</w:t>
            </w:r>
          </w:p>
        </w:tc>
        <w:tc>
          <w:tcPr>
            <w:tcW w:w="1128" w:type="dxa"/>
            <w:shd w:val="clear" w:color="auto" w:fill="FFFFFF"/>
          </w:tcPr>
          <w:p w14:paraId="126DE07B" w14:textId="77777777" w:rsidR="00F864B0" w:rsidRPr="00B57B36" w:rsidRDefault="008B656C" w:rsidP="008E675D">
            <w:pPr>
              <w:pStyle w:val="CETBodytext"/>
              <w:jc w:val="center"/>
              <w:rPr>
                <w:lang w:val="en-GB"/>
              </w:rPr>
            </w:pPr>
            <w:r>
              <w:rPr>
                <w:lang w:val="en-GB"/>
              </w:rPr>
              <w:sym w:font="Wingdings" w:char="F0FC"/>
            </w:r>
          </w:p>
        </w:tc>
        <w:tc>
          <w:tcPr>
            <w:tcW w:w="1128" w:type="dxa"/>
            <w:shd w:val="clear" w:color="auto" w:fill="FFFFFF"/>
          </w:tcPr>
          <w:p w14:paraId="1C499378" w14:textId="77777777" w:rsidR="00F864B0" w:rsidRPr="00B57B36" w:rsidRDefault="008B656C" w:rsidP="008E675D">
            <w:pPr>
              <w:pStyle w:val="CETBodytext"/>
              <w:ind w:right="-1"/>
              <w:jc w:val="center"/>
              <w:rPr>
                <w:rFonts w:cs="Arial"/>
                <w:szCs w:val="18"/>
                <w:lang w:val="en-GB"/>
              </w:rPr>
            </w:pPr>
            <w:r>
              <w:rPr>
                <w:lang w:val="en-GB"/>
              </w:rPr>
              <w:sym w:font="Wingdings" w:char="F0FC"/>
            </w:r>
          </w:p>
        </w:tc>
        <w:tc>
          <w:tcPr>
            <w:tcW w:w="1128" w:type="dxa"/>
            <w:shd w:val="clear" w:color="auto" w:fill="FFFFFF"/>
          </w:tcPr>
          <w:p w14:paraId="4DAB32B1" w14:textId="3CC9D56B" w:rsidR="00F864B0" w:rsidRPr="00B57B36" w:rsidRDefault="00301D13" w:rsidP="008E675D">
            <w:pPr>
              <w:pStyle w:val="CETBodytext"/>
              <w:ind w:right="-1"/>
              <w:jc w:val="center"/>
              <w:rPr>
                <w:rFonts w:cs="Arial"/>
                <w:szCs w:val="18"/>
                <w:lang w:val="en-GB"/>
              </w:rPr>
            </w:pPr>
            <w:r>
              <w:rPr>
                <w:rFonts w:cs="Arial"/>
                <w:szCs w:val="18"/>
                <w:lang w:val="en-GB"/>
              </w:rPr>
              <w:t>x</w:t>
            </w:r>
          </w:p>
        </w:tc>
      </w:tr>
      <w:tr w:rsidR="00F864B0" w:rsidRPr="00B57B36" w14:paraId="18573EA9" w14:textId="77777777" w:rsidTr="00C112C5">
        <w:trPr>
          <w:trHeight w:val="281"/>
        </w:trPr>
        <w:tc>
          <w:tcPr>
            <w:tcW w:w="2902" w:type="dxa"/>
            <w:shd w:val="clear" w:color="auto" w:fill="FFFFFF"/>
          </w:tcPr>
          <w:p w14:paraId="7EF42D3D" w14:textId="77777777" w:rsidR="00F864B0" w:rsidRPr="00B57B36" w:rsidRDefault="00F864B0" w:rsidP="00736A2D">
            <w:pPr>
              <w:pStyle w:val="CETBodytext"/>
              <w:rPr>
                <w:lang w:val="en-GB"/>
              </w:rPr>
            </w:pPr>
            <w:r>
              <w:rPr>
                <w:lang w:val="en-GB"/>
              </w:rPr>
              <w:t>Starch</w:t>
            </w:r>
            <w:r w:rsidR="00AD7C2D">
              <w:rPr>
                <w:lang w:val="en-GB"/>
              </w:rPr>
              <w:t xml:space="preserve"> - ST</w:t>
            </w:r>
          </w:p>
        </w:tc>
        <w:tc>
          <w:tcPr>
            <w:tcW w:w="1128" w:type="dxa"/>
            <w:shd w:val="clear" w:color="auto" w:fill="FFFFFF"/>
          </w:tcPr>
          <w:p w14:paraId="78786768" w14:textId="77777777" w:rsidR="00F864B0" w:rsidRPr="00B57B36" w:rsidRDefault="00DB006C" w:rsidP="008E675D">
            <w:pPr>
              <w:pStyle w:val="CETBodytext"/>
              <w:jc w:val="center"/>
              <w:rPr>
                <w:lang w:val="en-GB"/>
              </w:rPr>
            </w:pPr>
            <w:r>
              <w:rPr>
                <w:lang w:val="en-GB"/>
              </w:rPr>
              <w:t>x</w:t>
            </w:r>
          </w:p>
        </w:tc>
        <w:tc>
          <w:tcPr>
            <w:tcW w:w="1128" w:type="dxa"/>
            <w:shd w:val="clear" w:color="auto" w:fill="FFFFFF"/>
          </w:tcPr>
          <w:p w14:paraId="3E23F080" w14:textId="77777777" w:rsidR="00F864B0" w:rsidRPr="00B57B36" w:rsidRDefault="00DB006C" w:rsidP="008E675D">
            <w:pPr>
              <w:pStyle w:val="CETBodytext"/>
              <w:ind w:right="-1"/>
              <w:jc w:val="center"/>
              <w:rPr>
                <w:rFonts w:cs="Arial"/>
                <w:szCs w:val="18"/>
                <w:lang w:val="en-GB"/>
              </w:rPr>
            </w:pPr>
            <w:r>
              <w:rPr>
                <w:rFonts w:cs="Arial"/>
                <w:szCs w:val="18"/>
                <w:lang w:val="en-GB"/>
              </w:rPr>
              <w:t>-</w:t>
            </w:r>
          </w:p>
        </w:tc>
        <w:tc>
          <w:tcPr>
            <w:tcW w:w="1128" w:type="dxa"/>
            <w:shd w:val="clear" w:color="auto" w:fill="FFFFFF"/>
          </w:tcPr>
          <w:p w14:paraId="03CE31C0" w14:textId="77777777" w:rsidR="00F864B0" w:rsidRPr="00B57B36" w:rsidRDefault="00DB006C" w:rsidP="008E675D">
            <w:pPr>
              <w:pStyle w:val="CETBodytext"/>
              <w:ind w:right="-1"/>
              <w:jc w:val="center"/>
              <w:rPr>
                <w:rFonts w:cs="Arial"/>
                <w:szCs w:val="18"/>
                <w:lang w:val="en-GB"/>
              </w:rPr>
            </w:pPr>
            <w:r>
              <w:rPr>
                <w:rFonts w:cs="Arial"/>
                <w:szCs w:val="18"/>
                <w:lang w:val="en-GB"/>
              </w:rPr>
              <w:t>-</w:t>
            </w:r>
          </w:p>
        </w:tc>
      </w:tr>
      <w:tr w:rsidR="00F864B0" w:rsidRPr="00B57B36" w14:paraId="62CE2B26" w14:textId="77777777" w:rsidTr="00C112C5">
        <w:trPr>
          <w:trHeight w:val="267"/>
        </w:trPr>
        <w:tc>
          <w:tcPr>
            <w:tcW w:w="2902" w:type="dxa"/>
            <w:shd w:val="clear" w:color="auto" w:fill="FFFFFF"/>
          </w:tcPr>
          <w:p w14:paraId="660B9DCD" w14:textId="77777777" w:rsidR="00F864B0" w:rsidRDefault="00F864B0" w:rsidP="00736A2D">
            <w:pPr>
              <w:pStyle w:val="CETBodytext"/>
              <w:rPr>
                <w:lang w:val="en-GB"/>
              </w:rPr>
            </w:pPr>
            <w:r>
              <w:rPr>
                <w:lang w:val="en-GB"/>
              </w:rPr>
              <w:t>Cement</w:t>
            </w:r>
            <w:r w:rsidR="00AD7C2D">
              <w:rPr>
                <w:lang w:val="en-GB"/>
              </w:rPr>
              <w:t xml:space="preserve"> - CE</w:t>
            </w:r>
          </w:p>
        </w:tc>
        <w:tc>
          <w:tcPr>
            <w:tcW w:w="1128" w:type="dxa"/>
            <w:shd w:val="clear" w:color="auto" w:fill="FFFFFF"/>
          </w:tcPr>
          <w:p w14:paraId="66B1BB74" w14:textId="77777777" w:rsidR="00F864B0" w:rsidRPr="00B57B36" w:rsidRDefault="00F864B0" w:rsidP="008E675D">
            <w:pPr>
              <w:pStyle w:val="CETBodytext"/>
              <w:jc w:val="center"/>
              <w:rPr>
                <w:lang w:val="en-GB"/>
              </w:rPr>
            </w:pPr>
            <w:r>
              <w:rPr>
                <w:lang w:val="en-GB"/>
              </w:rPr>
              <w:t>x</w:t>
            </w:r>
          </w:p>
        </w:tc>
        <w:tc>
          <w:tcPr>
            <w:tcW w:w="1128" w:type="dxa"/>
            <w:shd w:val="clear" w:color="auto" w:fill="FFFFFF"/>
          </w:tcPr>
          <w:p w14:paraId="4B714641" w14:textId="77777777" w:rsidR="00F864B0" w:rsidRPr="00B57B36" w:rsidRDefault="006B686E" w:rsidP="008E675D">
            <w:pPr>
              <w:pStyle w:val="CETBodytext"/>
              <w:ind w:right="-1"/>
              <w:jc w:val="center"/>
              <w:rPr>
                <w:rFonts w:cs="Arial"/>
                <w:szCs w:val="18"/>
                <w:lang w:val="en-GB"/>
              </w:rPr>
            </w:pPr>
            <w:r>
              <w:rPr>
                <w:rFonts w:cs="Arial"/>
                <w:szCs w:val="18"/>
                <w:lang w:val="en-GB"/>
              </w:rPr>
              <w:t>-</w:t>
            </w:r>
          </w:p>
        </w:tc>
        <w:tc>
          <w:tcPr>
            <w:tcW w:w="1128" w:type="dxa"/>
            <w:shd w:val="clear" w:color="auto" w:fill="FFFFFF"/>
          </w:tcPr>
          <w:p w14:paraId="53A101C8" w14:textId="77777777" w:rsidR="00F864B0" w:rsidRPr="00B57B36" w:rsidRDefault="00F864B0" w:rsidP="008E675D">
            <w:pPr>
              <w:pStyle w:val="CETBodytext"/>
              <w:ind w:right="-1"/>
              <w:jc w:val="center"/>
              <w:rPr>
                <w:rFonts w:cs="Arial"/>
                <w:szCs w:val="18"/>
                <w:lang w:val="en-GB"/>
              </w:rPr>
            </w:pPr>
            <w:r>
              <w:rPr>
                <w:rFonts w:cs="Arial"/>
                <w:szCs w:val="18"/>
                <w:lang w:val="en-GB"/>
              </w:rPr>
              <w:t>-</w:t>
            </w:r>
          </w:p>
        </w:tc>
      </w:tr>
      <w:tr w:rsidR="00F864B0" w:rsidRPr="00B57B36" w14:paraId="61460901" w14:textId="77777777" w:rsidTr="00C112C5">
        <w:trPr>
          <w:trHeight w:val="281"/>
        </w:trPr>
        <w:tc>
          <w:tcPr>
            <w:tcW w:w="2902" w:type="dxa"/>
            <w:shd w:val="clear" w:color="auto" w:fill="FFFFFF"/>
          </w:tcPr>
          <w:p w14:paraId="1A5A3450" w14:textId="77777777" w:rsidR="00F864B0" w:rsidRDefault="00F864B0" w:rsidP="00736A2D">
            <w:pPr>
              <w:pStyle w:val="CETBodytext"/>
              <w:rPr>
                <w:lang w:val="en-GB"/>
              </w:rPr>
            </w:pPr>
            <w:r>
              <w:rPr>
                <w:lang w:val="en-GB"/>
              </w:rPr>
              <w:t>Clay</w:t>
            </w:r>
            <w:r w:rsidR="00AD7C2D">
              <w:rPr>
                <w:lang w:val="en-GB"/>
              </w:rPr>
              <w:t xml:space="preserve"> - CL</w:t>
            </w:r>
          </w:p>
        </w:tc>
        <w:tc>
          <w:tcPr>
            <w:tcW w:w="1128" w:type="dxa"/>
            <w:shd w:val="clear" w:color="auto" w:fill="FFFFFF"/>
          </w:tcPr>
          <w:p w14:paraId="11959CEF" w14:textId="77777777" w:rsidR="00F864B0" w:rsidRPr="00B57B36" w:rsidRDefault="001F34CF" w:rsidP="008E675D">
            <w:pPr>
              <w:pStyle w:val="CETBodytext"/>
              <w:jc w:val="center"/>
              <w:rPr>
                <w:lang w:val="en-GB"/>
              </w:rPr>
            </w:pPr>
            <w:r>
              <w:rPr>
                <w:lang w:val="en-GB"/>
              </w:rPr>
              <w:sym w:font="Wingdings" w:char="F0FC"/>
            </w:r>
          </w:p>
        </w:tc>
        <w:tc>
          <w:tcPr>
            <w:tcW w:w="1128" w:type="dxa"/>
            <w:shd w:val="clear" w:color="auto" w:fill="FFFFFF"/>
          </w:tcPr>
          <w:p w14:paraId="33B23552" w14:textId="77777777" w:rsidR="00F864B0" w:rsidRPr="00B57B36" w:rsidRDefault="003617F1" w:rsidP="008E675D">
            <w:pPr>
              <w:pStyle w:val="CETBodytext"/>
              <w:ind w:right="-1"/>
              <w:jc w:val="center"/>
              <w:rPr>
                <w:rFonts w:cs="Arial"/>
                <w:szCs w:val="18"/>
                <w:lang w:val="en-GB"/>
              </w:rPr>
            </w:pPr>
            <w:r>
              <w:rPr>
                <w:rFonts w:cs="Arial"/>
                <w:szCs w:val="18"/>
                <w:lang w:val="en-GB"/>
              </w:rPr>
              <w:t>x</w:t>
            </w:r>
          </w:p>
        </w:tc>
        <w:tc>
          <w:tcPr>
            <w:tcW w:w="1128" w:type="dxa"/>
            <w:shd w:val="clear" w:color="auto" w:fill="FFFFFF"/>
          </w:tcPr>
          <w:p w14:paraId="56B462FB" w14:textId="77777777" w:rsidR="00F864B0" w:rsidRPr="00B57B36" w:rsidRDefault="00F864B0" w:rsidP="008E675D">
            <w:pPr>
              <w:pStyle w:val="CETBodytext"/>
              <w:ind w:right="-1"/>
              <w:jc w:val="center"/>
              <w:rPr>
                <w:rFonts w:cs="Arial"/>
                <w:szCs w:val="18"/>
                <w:lang w:val="en-GB"/>
              </w:rPr>
            </w:pPr>
            <w:r>
              <w:rPr>
                <w:rFonts w:cs="Arial"/>
                <w:szCs w:val="18"/>
                <w:lang w:val="en-GB"/>
              </w:rPr>
              <w:t>-</w:t>
            </w:r>
          </w:p>
        </w:tc>
      </w:tr>
      <w:tr w:rsidR="00F864B0" w:rsidRPr="00B57B36" w14:paraId="35102892" w14:textId="77777777" w:rsidTr="00C112C5">
        <w:trPr>
          <w:trHeight w:val="281"/>
        </w:trPr>
        <w:tc>
          <w:tcPr>
            <w:tcW w:w="2902" w:type="dxa"/>
            <w:shd w:val="clear" w:color="auto" w:fill="FFFFFF"/>
          </w:tcPr>
          <w:p w14:paraId="56D452B0" w14:textId="77777777" w:rsidR="00F864B0" w:rsidRPr="00D00224" w:rsidRDefault="00F864B0" w:rsidP="00736A2D">
            <w:pPr>
              <w:pStyle w:val="CETBodytext"/>
              <w:rPr>
                <w:lang w:val="en-GB"/>
              </w:rPr>
            </w:pPr>
            <w:proofErr w:type="gramStart"/>
            <w:r w:rsidRPr="00D00224">
              <w:rPr>
                <w:lang w:val="en-GB"/>
              </w:rPr>
              <w:t>Poly</w:t>
            </w:r>
            <w:r w:rsidR="00C502D1" w:rsidRPr="00D00224">
              <w:rPr>
                <w:lang w:val="en-GB"/>
              </w:rPr>
              <w:t>(</w:t>
            </w:r>
            <w:proofErr w:type="gramEnd"/>
            <w:r w:rsidRPr="00D00224">
              <w:rPr>
                <w:lang w:val="en-GB"/>
              </w:rPr>
              <w:t>acrylic acid</w:t>
            </w:r>
            <w:r w:rsidR="00C502D1" w:rsidRPr="00D00224">
              <w:rPr>
                <w:lang w:val="en-GB"/>
              </w:rPr>
              <w:t>)</w:t>
            </w:r>
            <w:r w:rsidR="00AD7C2D">
              <w:rPr>
                <w:lang w:val="en-GB"/>
              </w:rPr>
              <w:t xml:space="preserve"> - PAC</w:t>
            </w:r>
          </w:p>
        </w:tc>
        <w:tc>
          <w:tcPr>
            <w:tcW w:w="1128" w:type="dxa"/>
            <w:shd w:val="clear" w:color="auto" w:fill="FFFFFF"/>
          </w:tcPr>
          <w:p w14:paraId="2A751649" w14:textId="77777777" w:rsidR="00F864B0" w:rsidRPr="00D00224" w:rsidRDefault="00F864B0" w:rsidP="008E675D">
            <w:pPr>
              <w:pStyle w:val="CETBodytext"/>
              <w:jc w:val="center"/>
              <w:rPr>
                <w:lang w:val="en-GB"/>
              </w:rPr>
            </w:pPr>
            <w:r w:rsidRPr="00D00224">
              <w:rPr>
                <w:lang w:val="en-GB"/>
              </w:rPr>
              <w:t>x</w:t>
            </w:r>
          </w:p>
        </w:tc>
        <w:tc>
          <w:tcPr>
            <w:tcW w:w="1128" w:type="dxa"/>
            <w:shd w:val="clear" w:color="auto" w:fill="FFFFFF"/>
          </w:tcPr>
          <w:p w14:paraId="68E4BB05" w14:textId="77777777" w:rsidR="00F864B0" w:rsidRPr="00D00224" w:rsidRDefault="00F864B0" w:rsidP="008E675D">
            <w:pPr>
              <w:pStyle w:val="CETBodytext"/>
              <w:ind w:right="-1"/>
              <w:jc w:val="center"/>
              <w:rPr>
                <w:rFonts w:cs="Arial"/>
                <w:szCs w:val="18"/>
                <w:lang w:val="en-GB"/>
              </w:rPr>
            </w:pPr>
            <w:r w:rsidRPr="00D00224">
              <w:rPr>
                <w:rFonts w:cs="Arial"/>
                <w:szCs w:val="18"/>
                <w:lang w:val="en-GB"/>
              </w:rPr>
              <w:t>-</w:t>
            </w:r>
          </w:p>
        </w:tc>
        <w:tc>
          <w:tcPr>
            <w:tcW w:w="1128" w:type="dxa"/>
            <w:shd w:val="clear" w:color="auto" w:fill="FFFFFF"/>
          </w:tcPr>
          <w:p w14:paraId="29E79A1E" w14:textId="77777777" w:rsidR="00F864B0" w:rsidRPr="00B57B36" w:rsidRDefault="00F864B0" w:rsidP="008E675D">
            <w:pPr>
              <w:pStyle w:val="CETBodytext"/>
              <w:ind w:right="-1"/>
              <w:jc w:val="center"/>
              <w:rPr>
                <w:rFonts w:cs="Arial"/>
                <w:szCs w:val="18"/>
                <w:lang w:val="en-GB"/>
              </w:rPr>
            </w:pPr>
            <w:r w:rsidRPr="00D00224">
              <w:rPr>
                <w:rFonts w:cs="Arial"/>
                <w:szCs w:val="18"/>
                <w:lang w:val="en-GB"/>
              </w:rPr>
              <w:t>-</w:t>
            </w:r>
          </w:p>
        </w:tc>
      </w:tr>
      <w:tr w:rsidR="00F864B0" w:rsidRPr="00B57B36" w14:paraId="47A2C4A4" w14:textId="77777777" w:rsidTr="00C112C5">
        <w:trPr>
          <w:trHeight w:val="281"/>
        </w:trPr>
        <w:tc>
          <w:tcPr>
            <w:tcW w:w="2902" w:type="dxa"/>
            <w:shd w:val="clear" w:color="auto" w:fill="FFFFFF"/>
          </w:tcPr>
          <w:p w14:paraId="47F1414E" w14:textId="77777777" w:rsidR="00F864B0" w:rsidRDefault="00F864B0" w:rsidP="00736A2D">
            <w:pPr>
              <w:pStyle w:val="CETBodytext"/>
              <w:rPr>
                <w:lang w:val="en-GB"/>
              </w:rPr>
            </w:pPr>
            <w:proofErr w:type="gramStart"/>
            <w:r w:rsidRPr="00193137">
              <w:rPr>
                <w:lang w:val="en-GB"/>
              </w:rPr>
              <w:t>Poly</w:t>
            </w:r>
            <w:r w:rsidR="00C502D1">
              <w:rPr>
                <w:lang w:val="en-GB"/>
              </w:rPr>
              <w:t>(</w:t>
            </w:r>
            <w:proofErr w:type="gramEnd"/>
            <w:r w:rsidRPr="00193137">
              <w:rPr>
                <w:lang w:val="en-GB"/>
              </w:rPr>
              <w:t xml:space="preserve">vinyl </w:t>
            </w:r>
            <w:r>
              <w:rPr>
                <w:lang w:val="en-GB"/>
              </w:rPr>
              <w:t>a</w:t>
            </w:r>
            <w:r w:rsidRPr="00193137">
              <w:rPr>
                <w:lang w:val="en-GB"/>
              </w:rPr>
              <w:t>lcohol</w:t>
            </w:r>
            <w:r w:rsidR="00C502D1">
              <w:rPr>
                <w:lang w:val="en-GB"/>
              </w:rPr>
              <w:t>)</w:t>
            </w:r>
            <w:r w:rsidR="00AD7C2D">
              <w:rPr>
                <w:lang w:val="en-GB"/>
              </w:rPr>
              <w:t xml:space="preserve"> - PVA</w:t>
            </w:r>
          </w:p>
        </w:tc>
        <w:tc>
          <w:tcPr>
            <w:tcW w:w="1128" w:type="dxa"/>
            <w:shd w:val="clear" w:color="auto" w:fill="FFFFFF"/>
          </w:tcPr>
          <w:p w14:paraId="0D632621" w14:textId="77777777" w:rsidR="00F864B0" w:rsidRPr="00B57B36" w:rsidRDefault="00F864B0" w:rsidP="008E675D">
            <w:pPr>
              <w:pStyle w:val="CETBodytext"/>
              <w:jc w:val="center"/>
              <w:rPr>
                <w:lang w:val="en-GB"/>
              </w:rPr>
            </w:pPr>
            <w:r>
              <w:rPr>
                <w:lang w:val="en-GB"/>
              </w:rPr>
              <w:sym w:font="Wingdings" w:char="F0FC"/>
            </w:r>
          </w:p>
        </w:tc>
        <w:tc>
          <w:tcPr>
            <w:tcW w:w="1128" w:type="dxa"/>
            <w:shd w:val="clear" w:color="auto" w:fill="FFFFFF"/>
          </w:tcPr>
          <w:p w14:paraId="2FBA7CD5" w14:textId="77777777" w:rsidR="00F864B0" w:rsidRPr="00B57B36" w:rsidRDefault="004668D9" w:rsidP="008E675D">
            <w:pPr>
              <w:pStyle w:val="CETBodytext"/>
              <w:ind w:right="-1"/>
              <w:jc w:val="center"/>
              <w:rPr>
                <w:rFonts w:cs="Arial"/>
                <w:szCs w:val="18"/>
                <w:lang w:val="en-GB"/>
              </w:rPr>
            </w:pPr>
            <w:r>
              <w:rPr>
                <w:lang w:val="en-GB"/>
              </w:rPr>
              <w:sym w:font="Wingdings" w:char="F0FC"/>
            </w:r>
          </w:p>
        </w:tc>
        <w:tc>
          <w:tcPr>
            <w:tcW w:w="1128" w:type="dxa"/>
            <w:shd w:val="clear" w:color="auto" w:fill="FFFFFF"/>
          </w:tcPr>
          <w:p w14:paraId="2053BDBD" w14:textId="77777777" w:rsidR="00F864B0" w:rsidRPr="00B57B36" w:rsidRDefault="004668D9" w:rsidP="008E675D">
            <w:pPr>
              <w:pStyle w:val="CETBodytext"/>
              <w:ind w:right="-1"/>
              <w:jc w:val="center"/>
              <w:rPr>
                <w:rFonts w:cs="Arial"/>
                <w:szCs w:val="18"/>
                <w:lang w:val="en-GB"/>
              </w:rPr>
            </w:pPr>
            <w:r>
              <w:rPr>
                <w:rFonts w:cs="Arial"/>
                <w:szCs w:val="18"/>
                <w:lang w:val="en-GB"/>
              </w:rPr>
              <w:t>+/-</w:t>
            </w:r>
          </w:p>
        </w:tc>
      </w:tr>
      <w:tr w:rsidR="00F864B0" w:rsidRPr="00B57B36" w14:paraId="3F04CE8E" w14:textId="77777777" w:rsidTr="00C112C5">
        <w:trPr>
          <w:trHeight w:val="60"/>
        </w:trPr>
        <w:tc>
          <w:tcPr>
            <w:tcW w:w="2902" w:type="dxa"/>
            <w:shd w:val="clear" w:color="auto" w:fill="FFFFFF"/>
          </w:tcPr>
          <w:p w14:paraId="4A5E9E45" w14:textId="77777777" w:rsidR="00F864B0" w:rsidRDefault="00F864B0" w:rsidP="00736A2D">
            <w:pPr>
              <w:pStyle w:val="CETBodytext"/>
              <w:rPr>
                <w:lang w:val="en-GB"/>
              </w:rPr>
            </w:pPr>
            <w:r>
              <w:rPr>
                <w:lang w:val="en-GB"/>
              </w:rPr>
              <w:t>Sodium silicate</w:t>
            </w:r>
            <w:r w:rsidR="00AD7C2D">
              <w:rPr>
                <w:lang w:val="en-GB"/>
              </w:rPr>
              <w:t xml:space="preserve"> - SS</w:t>
            </w:r>
          </w:p>
        </w:tc>
        <w:tc>
          <w:tcPr>
            <w:tcW w:w="1128" w:type="dxa"/>
            <w:shd w:val="clear" w:color="auto" w:fill="FFFFFF"/>
          </w:tcPr>
          <w:p w14:paraId="2AEA9CFA" w14:textId="77777777" w:rsidR="00F864B0" w:rsidRPr="00B57B36" w:rsidRDefault="00F864B0" w:rsidP="008E675D">
            <w:pPr>
              <w:pStyle w:val="CETBodytext"/>
              <w:jc w:val="center"/>
              <w:rPr>
                <w:lang w:val="en-GB"/>
              </w:rPr>
            </w:pPr>
            <w:r>
              <w:rPr>
                <w:lang w:val="en-GB"/>
              </w:rPr>
              <w:sym w:font="Wingdings" w:char="F0FC"/>
            </w:r>
          </w:p>
        </w:tc>
        <w:tc>
          <w:tcPr>
            <w:tcW w:w="1128" w:type="dxa"/>
            <w:shd w:val="clear" w:color="auto" w:fill="FFFFFF"/>
          </w:tcPr>
          <w:p w14:paraId="0594E97B" w14:textId="77777777" w:rsidR="00F864B0" w:rsidRPr="00B57B36" w:rsidRDefault="004668D9" w:rsidP="008E675D">
            <w:pPr>
              <w:pStyle w:val="CETBodytext"/>
              <w:ind w:right="-1"/>
              <w:jc w:val="center"/>
              <w:rPr>
                <w:rFonts w:cs="Arial"/>
                <w:szCs w:val="18"/>
                <w:lang w:val="en-GB"/>
              </w:rPr>
            </w:pPr>
            <w:r>
              <w:rPr>
                <w:lang w:val="en-GB"/>
              </w:rPr>
              <w:sym w:font="Wingdings" w:char="F0FC"/>
            </w:r>
          </w:p>
        </w:tc>
        <w:tc>
          <w:tcPr>
            <w:tcW w:w="1128" w:type="dxa"/>
            <w:shd w:val="clear" w:color="auto" w:fill="FFFFFF"/>
          </w:tcPr>
          <w:p w14:paraId="3CCDD22D" w14:textId="77777777" w:rsidR="00F864B0" w:rsidRPr="00B57B36" w:rsidRDefault="004668D9" w:rsidP="008E675D">
            <w:pPr>
              <w:pStyle w:val="CETBodytext"/>
              <w:ind w:right="-1"/>
              <w:jc w:val="center"/>
              <w:rPr>
                <w:rFonts w:cs="Arial"/>
                <w:szCs w:val="18"/>
                <w:lang w:val="en-GB"/>
              </w:rPr>
            </w:pPr>
            <w:r>
              <w:rPr>
                <w:lang w:val="en-GB"/>
              </w:rPr>
              <w:sym w:font="Wingdings" w:char="F0FC"/>
            </w:r>
          </w:p>
        </w:tc>
      </w:tr>
      <w:bookmarkEnd w:id="9"/>
    </w:tbl>
    <w:p w14:paraId="19F7E9F6" w14:textId="77777777" w:rsidR="00B25534" w:rsidRDefault="00B25534" w:rsidP="00FF1CFF">
      <w:pPr>
        <w:pStyle w:val="CETBodytext"/>
        <w:rPr>
          <w:lang w:val="en-GB"/>
        </w:rPr>
      </w:pPr>
    </w:p>
    <w:p w14:paraId="2F71116A" w14:textId="0471B9F7" w:rsidR="00320818" w:rsidRPr="009742B5" w:rsidRDefault="00D70C21" w:rsidP="00FF1CFF">
      <w:pPr>
        <w:pStyle w:val="CETBodytext"/>
        <w:rPr>
          <w:lang w:val="en-GB"/>
        </w:rPr>
      </w:pPr>
      <w:r w:rsidRPr="00D70C21">
        <w:rPr>
          <w:lang w:val="en-GB"/>
        </w:rPr>
        <w:t>Based on these results</w:t>
      </w:r>
      <w:r w:rsidR="00EF633C">
        <w:rPr>
          <w:lang w:val="en-GB"/>
        </w:rPr>
        <w:t>,</w:t>
      </w:r>
      <w:r w:rsidRPr="00D70C21">
        <w:rPr>
          <w:lang w:val="en-GB"/>
        </w:rPr>
        <w:t xml:space="preserve"> the research team proceeded to granulate the IH with sodium silicate </w:t>
      </w:r>
      <w:r w:rsidR="00105A18">
        <w:rPr>
          <w:lang w:val="en-GB"/>
        </w:rPr>
        <w:t>evaluating</w:t>
      </w:r>
      <w:r w:rsidRPr="00D70C21">
        <w:rPr>
          <w:lang w:val="en-GB"/>
        </w:rPr>
        <w:t xml:space="preserve"> different percentages</w:t>
      </w:r>
      <w:r w:rsidR="009742B5">
        <w:rPr>
          <w:lang w:val="en-GB"/>
        </w:rPr>
        <w:t xml:space="preserve"> (</w:t>
      </w:r>
      <w:r w:rsidR="006D07C4">
        <w:rPr>
          <w:lang w:val="en-GB"/>
        </w:rPr>
        <w:t>16</w:t>
      </w:r>
      <w:r w:rsidRPr="00D70C21">
        <w:rPr>
          <w:lang w:val="en-GB"/>
        </w:rPr>
        <w:t xml:space="preserve">, </w:t>
      </w:r>
      <w:r w:rsidR="006D07C4">
        <w:rPr>
          <w:lang w:val="en-GB"/>
        </w:rPr>
        <w:t>36</w:t>
      </w:r>
      <w:r w:rsidRPr="00D70C21">
        <w:rPr>
          <w:lang w:val="en-GB"/>
        </w:rPr>
        <w:t xml:space="preserve"> and </w:t>
      </w:r>
      <w:r w:rsidR="006D07C4">
        <w:rPr>
          <w:lang w:val="en-GB"/>
        </w:rPr>
        <w:t>53</w:t>
      </w:r>
      <w:r w:rsidR="003617F1">
        <w:rPr>
          <w:lang w:val="en-GB"/>
        </w:rPr>
        <w:t xml:space="preserve"> </w:t>
      </w:r>
      <w:r w:rsidRPr="00D70C21">
        <w:rPr>
          <w:lang w:val="en-GB"/>
        </w:rPr>
        <w:t>%) of this inorganic adhesiv</w:t>
      </w:r>
      <w:r w:rsidR="00105A18">
        <w:rPr>
          <w:lang w:val="en-GB"/>
        </w:rPr>
        <w:t>e</w:t>
      </w:r>
      <w:r w:rsidRPr="00D70C21">
        <w:rPr>
          <w:lang w:val="en-GB"/>
        </w:rPr>
        <w:t>.</w:t>
      </w:r>
      <w:r w:rsidR="009742B5">
        <w:rPr>
          <w:lang w:val="en-GB"/>
        </w:rPr>
        <w:t xml:space="preserve"> </w:t>
      </w:r>
      <w:r w:rsidR="000529EB" w:rsidRPr="000529EB">
        <w:rPr>
          <w:lang w:val="en-GB"/>
        </w:rPr>
        <w:t>These tests show</w:t>
      </w:r>
      <w:r w:rsidR="00105A18">
        <w:rPr>
          <w:lang w:val="en-GB"/>
        </w:rPr>
        <w:t>ed</w:t>
      </w:r>
      <w:r w:rsidR="000529EB" w:rsidRPr="000529EB">
        <w:rPr>
          <w:lang w:val="en-GB"/>
        </w:rPr>
        <w:t xml:space="preserve"> </w:t>
      </w:r>
      <w:r w:rsidR="000529EB">
        <w:rPr>
          <w:lang w:val="en-GB"/>
        </w:rPr>
        <w:t xml:space="preserve">a certain </w:t>
      </w:r>
      <w:r w:rsidR="000529EB" w:rsidRPr="000529EB">
        <w:rPr>
          <w:lang w:val="en-GB"/>
        </w:rPr>
        <w:t xml:space="preserve">heterogeneity </w:t>
      </w:r>
      <w:r w:rsidR="00EF633C">
        <w:rPr>
          <w:lang w:val="en-GB"/>
        </w:rPr>
        <w:t>regarding</w:t>
      </w:r>
      <w:r w:rsidR="000529EB" w:rsidRPr="000529EB">
        <w:rPr>
          <w:lang w:val="en-GB"/>
        </w:rPr>
        <w:t xml:space="preserve"> the size of the granules obtained (</w:t>
      </w:r>
      <w:r w:rsidR="009742B5">
        <w:rPr>
          <w:lang w:val="en-GB"/>
        </w:rPr>
        <w:t>2</w:t>
      </w:r>
      <w:r w:rsidR="000529EB" w:rsidRPr="000529EB">
        <w:rPr>
          <w:lang w:val="en-GB"/>
        </w:rPr>
        <w:t xml:space="preserve"> to 4 mm)</w:t>
      </w:r>
      <w:r w:rsidR="000529EB">
        <w:rPr>
          <w:lang w:val="en-GB"/>
        </w:rPr>
        <w:t xml:space="preserve">, </w:t>
      </w:r>
      <w:r w:rsidR="00331857" w:rsidRPr="00331857">
        <w:rPr>
          <w:lang w:val="en-GB"/>
        </w:rPr>
        <w:t>which could be overcome when this procedure becomes automatised</w:t>
      </w:r>
      <w:r w:rsidR="000529EB" w:rsidRPr="000529EB">
        <w:rPr>
          <w:lang w:val="en-GB"/>
        </w:rPr>
        <w:t>.</w:t>
      </w:r>
      <w:r w:rsidR="000529EB" w:rsidRPr="000529EB">
        <w:t xml:space="preserve"> </w:t>
      </w:r>
    </w:p>
    <w:p w14:paraId="1FB5DD36" w14:textId="77777777" w:rsidR="00FF1CFF" w:rsidRPr="00B57B36" w:rsidRDefault="00FF1CFF" w:rsidP="00C112C5">
      <w:pPr>
        <w:pStyle w:val="CETheadingx"/>
      </w:pPr>
      <w:r>
        <w:t>Activation</w:t>
      </w:r>
    </w:p>
    <w:p w14:paraId="1EF421F5" w14:textId="30935CF1" w:rsidR="005F3544" w:rsidRPr="00692DCD" w:rsidRDefault="00485AC7" w:rsidP="005F3544">
      <w:pPr>
        <w:pStyle w:val="CETBodytext"/>
      </w:pPr>
      <w:r w:rsidRPr="00485AC7">
        <w:t>In the activation phase</w:t>
      </w:r>
      <w:r w:rsidR="003617F1">
        <w:t>,</w:t>
      </w:r>
      <w:r w:rsidRPr="00485AC7">
        <w:t xml:space="preserve"> </w:t>
      </w:r>
      <w:r w:rsidR="00DB14A7">
        <w:t xml:space="preserve">the samples </w:t>
      </w:r>
      <w:r w:rsidRPr="00485AC7">
        <w:t xml:space="preserve">granulated </w:t>
      </w:r>
      <w:r w:rsidR="00FD48F6">
        <w:t>I</w:t>
      </w:r>
      <w:r w:rsidR="008F160A">
        <w:t xml:space="preserve">H </w:t>
      </w:r>
      <w:r w:rsidRPr="00485AC7">
        <w:t>with sodium silicate were submitted to</w:t>
      </w:r>
      <w:r w:rsidR="00DB14A7" w:rsidRPr="00DB14A7">
        <w:t xml:space="preserve"> heat treatment </w:t>
      </w:r>
      <w:r w:rsidR="00DB14A7">
        <w:t xml:space="preserve">under </w:t>
      </w:r>
      <w:r w:rsidRPr="00485AC7">
        <w:t>controlled atmospheres of N</w:t>
      </w:r>
      <w:r w:rsidRPr="00DB14A7">
        <w:rPr>
          <w:vertAlign w:val="subscript"/>
        </w:rPr>
        <w:t>2</w:t>
      </w:r>
      <w:r w:rsidR="00105A18">
        <w:t xml:space="preserve"> or</w:t>
      </w:r>
      <w:r w:rsidRPr="00485AC7">
        <w:t xml:space="preserve"> N</w:t>
      </w:r>
      <w:r w:rsidRPr="00DB14A7">
        <w:rPr>
          <w:vertAlign w:val="subscript"/>
        </w:rPr>
        <w:t>2</w:t>
      </w:r>
      <w:r w:rsidR="00983E73">
        <w:rPr>
          <w:rFonts w:cs="Arial"/>
        </w:rPr>
        <w:t>→</w:t>
      </w:r>
      <w:r w:rsidRPr="00485AC7">
        <w:t>CO</w:t>
      </w:r>
      <w:r w:rsidRPr="00DB14A7">
        <w:rPr>
          <w:vertAlign w:val="subscript"/>
        </w:rPr>
        <w:t>2</w:t>
      </w:r>
      <w:r w:rsidR="00105A18">
        <w:t>, both at</w:t>
      </w:r>
      <w:r w:rsidRPr="00485AC7">
        <w:t xml:space="preserve"> maximum temperatures of 300 and 500 ºC.</w:t>
      </w:r>
      <w:r w:rsidR="00DB14A7">
        <w:t xml:space="preserve"> </w:t>
      </w:r>
      <w:r w:rsidR="00CC18D2" w:rsidRPr="008E5884">
        <w:t xml:space="preserve">The </w:t>
      </w:r>
      <w:r w:rsidR="00781445" w:rsidRPr="007E79A4">
        <w:rPr>
          <w:highlight w:val="yellow"/>
        </w:rPr>
        <w:t>mechanical</w:t>
      </w:r>
      <w:r w:rsidR="00781445">
        <w:t xml:space="preserve"> </w:t>
      </w:r>
      <w:r w:rsidR="00CC18D2" w:rsidRPr="008E5884">
        <w:t>stability of the granules obtained after heat treatment was di</w:t>
      </w:r>
      <w:r w:rsidR="008459E5">
        <w:t>fferent</w:t>
      </w:r>
      <w:r w:rsidR="00EF633C">
        <w:t>;</w:t>
      </w:r>
      <w:r w:rsidR="008E5884">
        <w:t xml:space="preserve"> namely</w:t>
      </w:r>
      <w:r w:rsidR="00E8374D">
        <w:t>,</w:t>
      </w:r>
      <w:r w:rsidR="008E5884">
        <w:t xml:space="preserve"> </w:t>
      </w:r>
      <w:r w:rsidR="008E5884" w:rsidRPr="008E5884">
        <w:t xml:space="preserve">the strength of </w:t>
      </w:r>
      <w:r w:rsidR="00E8374D">
        <w:t xml:space="preserve">those that were granulated with </w:t>
      </w:r>
      <w:r w:rsidR="00A771F1">
        <w:t>16</w:t>
      </w:r>
      <w:r w:rsidR="00174C80">
        <w:t xml:space="preserve"> </w:t>
      </w:r>
      <w:r w:rsidR="00E8374D">
        <w:t>% of sodium silicate present a very low resistance to</w:t>
      </w:r>
      <w:r w:rsidR="006B0222" w:rsidRPr="006B0222">
        <w:t xml:space="preserve"> handling</w:t>
      </w:r>
      <w:r w:rsidR="006B0222">
        <w:t xml:space="preserve">. Nevertheless, </w:t>
      </w:r>
      <w:r w:rsidR="00DB14A7" w:rsidRPr="00DB14A7">
        <w:t>the strength of the granules increases considerably</w:t>
      </w:r>
      <w:r w:rsidR="00DB14A7">
        <w:t xml:space="preserve"> </w:t>
      </w:r>
      <w:r w:rsidR="006B0222">
        <w:rPr>
          <w:lang w:val="en-GB"/>
        </w:rPr>
        <w:t>w</w:t>
      </w:r>
      <w:r w:rsidR="008E5884" w:rsidRPr="008E5884">
        <w:rPr>
          <w:lang w:val="en-GB"/>
        </w:rPr>
        <w:t xml:space="preserve">hen </w:t>
      </w:r>
      <w:r w:rsidR="008419C3">
        <w:rPr>
          <w:lang w:val="en-GB"/>
        </w:rPr>
        <w:t>the</w:t>
      </w:r>
      <w:r w:rsidR="00DB14A7">
        <w:rPr>
          <w:lang w:val="en-GB"/>
        </w:rPr>
        <w:t xml:space="preserve"> amount of</w:t>
      </w:r>
      <w:r w:rsidR="008E5884" w:rsidRPr="008E5884">
        <w:rPr>
          <w:lang w:val="en-GB"/>
        </w:rPr>
        <w:t xml:space="preserve"> </w:t>
      </w:r>
      <w:r w:rsidR="008419C3">
        <w:rPr>
          <w:lang w:val="en-GB"/>
        </w:rPr>
        <w:t xml:space="preserve">binder increases to </w:t>
      </w:r>
      <w:r w:rsidR="00A771F1">
        <w:rPr>
          <w:lang w:val="en-GB"/>
        </w:rPr>
        <w:t>36</w:t>
      </w:r>
      <w:r w:rsidR="003617F1">
        <w:rPr>
          <w:lang w:val="en-GB"/>
        </w:rPr>
        <w:t xml:space="preserve"> </w:t>
      </w:r>
      <w:r w:rsidR="008E5884" w:rsidRPr="008E5884">
        <w:rPr>
          <w:lang w:val="en-GB"/>
        </w:rPr>
        <w:t xml:space="preserve">% and </w:t>
      </w:r>
      <w:r w:rsidR="00A771F1">
        <w:rPr>
          <w:lang w:val="en-GB"/>
        </w:rPr>
        <w:t>53</w:t>
      </w:r>
      <w:r w:rsidR="003617F1">
        <w:rPr>
          <w:lang w:val="en-GB"/>
        </w:rPr>
        <w:t xml:space="preserve"> </w:t>
      </w:r>
      <w:r w:rsidR="008E5884" w:rsidRPr="008E5884">
        <w:rPr>
          <w:lang w:val="en-GB"/>
        </w:rPr>
        <w:t>%.</w:t>
      </w:r>
    </w:p>
    <w:p w14:paraId="16C77678" w14:textId="205236A8" w:rsidR="005F3544" w:rsidRPr="004C6570" w:rsidRDefault="005F3544" w:rsidP="004C6570">
      <w:pPr>
        <w:pStyle w:val="CETTabletitle"/>
      </w:pPr>
      <w:bookmarkStart w:id="10" w:name="_Hlk99959110"/>
      <w:r w:rsidRPr="004C6570">
        <w:t xml:space="preserve">Table 2: </w:t>
      </w:r>
      <w:bookmarkStart w:id="11" w:name="_Hlk99960842"/>
      <w:r w:rsidR="008A080B" w:rsidRPr="007E79A4">
        <w:rPr>
          <w:highlight w:val="yellow"/>
        </w:rPr>
        <w:t>Mass y</w:t>
      </w:r>
      <w:r w:rsidR="00104F68" w:rsidRPr="007E79A4">
        <w:rPr>
          <w:highlight w:val="yellow"/>
        </w:rPr>
        <w:t xml:space="preserve">ield of thermal treatment process and </w:t>
      </w:r>
      <w:r w:rsidR="00681CD5" w:rsidRPr="007E79A4">
        <w:rPr>
          <w:highlight w:val="yellow"/>
        </w:rPr>
        <w:t>s</w:t>
      </w:r>
      <w:r w:rsidR="00104F68" w:rsidRPr="007E79A4">
        <w:rPr>
          <w:highlight w:val="yellow"/>
        </w:rPr>
        <w:t xml:space="preserve">urface </w:t>
      </w:r>
      <w:r w:rsidR="00681CD5" w:rsidRPr="007E79A4">
        <w:rPr>
          <w:highlight w:val="yellow"/>
        </w:rPr>
        <w:t>a</w:t>
      </w:r>
      <w:r w:rsidR="00104F68" w:rsidRPr="007E79A4">
        <w:rPr>
          <w:highlight w:val="yellow"/>
        </w:rPr>
        <w:t xml:space="preserve">rea of granulated </w:t>
      </w:r>
      <w:r w:rsidR="00BB02EA" w:rsidRPr="007E79A4">
        <w:rPr>
          <w:highlight w:val="yellow"/>
        </w:rPr>
        <w:t xml:space="preserve">IH. </w:t>
      </w:r>
      <w:r w:rsidR="009008C2" w:rsidRPr="007E79A4">
        <w:rPr>
          <w:highlight w:val="yellow"/>
        </w:rPr>
        <w:t>“</w:t>
      </w:r>
      <w:r w:rsidR="00BB02EA" w:rsidRPr="007E79A4">
        <w:rPr>
          <w:highlight w:val="yellow"/>
        </w:rPr>
        <w:t>DL</w:t>
      </w:r>
      <w:r w:rsidR="009008C2" w:rsidRPr="007E79A4">
        <w:rPr>
          <w:highlight w:val="yellow"/>
        </w:rPr>
        <w:t>”</w:t>
      </w:r>
      <w:r w:rsidR="00BB02EA" w:rsidRPr="007E79A4">
        <w:rPr>
          <w:highlight w:val="yellow"/>
        </w:rPr>
        <w:t xml:space="preserve"> detection limit</w:t>
      </w:r>
      <w:r w:rsidR="00956AE5" w:rsidRPr="00956AE5">
        <w:rPr>
          <w:highlight w:val="yellow"/>
        </w:rPr>
        <w:t xml:space="preserve"> (</w:t>
      </w:r>
      <w:r w:rsidR="00956AE5" w:rsidRPr="007E79A4">
        <w:rPr>
          <w:highlight w:val="yellow"/>
        </w:rPr>
        <w:t>1 m</w:t>
      </w:r>
      <w:r w:rsidR="00956AE5" w:rsidRPr="007E79A4">
        <w:rPr>
          <w:highlight w:val="yellow"/>
          <w:vertAlign w:val="superscript"/>
        </w:rPr>
        <w:t>2</w:t>
      </w:r>
      <w:r w:rsidR="00956AE5" w:rsidRPr="007E79A4">
        <w:rPr>
          <w:highlight w:val="yellow"/>
        </w:rPr>
        <w:t xml:space="preserve"> g</w:t>
      </w:r>
      <w:r w:rsidR="00956AE5" w:rsidRPr="007E79A4">
        <w:rPr>
          <w:highlight w:val="yellow"/>
          <w:vertAlign w:val="superscript"/>
        </w:rPr>
        <w:t>-1</w:t>
      </w:r>
      <w:r w:rsidR="00956AE5" w:rsidRPr="00956AE5">
        <w:rPr>
          <w:highlight w:val="yellow"/>
        </w:rPr>
        <w:t>)</w:t>
      </w:r>
      <w:r w:rsidR="009008C2" w:rsidRPr="007E79A4">
        <w:rPr>
          <w:highlight w:val="yellow"/>
        </w:rPr>
        <w:t>; “</w:t>
      </w:r>
      <w:proofErr w:type="gramStart"/>
      <w:r w:rsidR="009008C2" w:rsidRPr="007E79A4">
        <w:rPr>
          <w:highlight w:val="yellow"/>
        </w:rPr>
        <w:t>-“ no</w:t>
      </w:r>
      <w:proofErr w:type="gramEnd"/>
      <w:r w:rsidR="009008C2" w:rsidRPr="007E79A4">
        <w:rPr>
          <w:highlight w:val="yellow"/>
        </w:rPr>
        <w:t xml:space="preserve"> measure.</w:t>
      </w:r>
      <w:bookmarkEnd w:id="11"/>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709"/>
        <w:gridCol w:w="858"/>
        <w:gridCol w:w="1134"/>
        <w:gridCol w:w="850"/>
        <w:gridCol w:w="1134"/>
        <w:gridCol w:w="701"/>
        <w:gridCol w:w="701"/>
      </w:tblGrid>
      <w:tr w:rsidR="00BC38EC" w:rsidRPr="00B57B36" w14:paraId="5C9A8FA2" w14:textId="77777777" w:rsidTr="00243E3F">
        <w:trPr>
          <w:trHeight w:val="266"/>
        </w:trPr>
        <w:tc>
          <w:tcPr>
            <w:tcW w:w="851" w:type="dxa"/>
            <w:tcBorders>
              <w:top w:val="single" w:sz="12" w:space="0" w:color="008000"/>
              <w:bottom w:val="single" w:sz="6" w:space="0" w:color="008000"/>
            </w:tcBorders>
            <w:shd w:val="clear" w:color="auto" w:fill="FFFFFF"/>
          </w:tcPr>
          <w:bookmarkEnd w:id="10"/>
          <w:p w14:paraId="7D18917D" w14:textId="77777777" w:rsidR="00BC38EC" w:rsidRPr="00B57B36" w:rsidRDefault="00BC38EC" w:rsidP="007278FF">
            <w:pPr>
              <w:pStyle w:val="CETBodytext"/>
              <w:rPr>
                <w:lang w:val="en-GB"/>
              </w:rPr>
            </w:pPr>
            <w:r>
              <w:rPr>
                <w:lang w:val="en-GB"/>
              </w:rPr>
              <w:t>Sample</w:t>
            </w:r>
          </w:p>
        </w:tc>
        <w:tc>
          <w:tcPr>
            <w:tcW w:w="709" w:type="dxa"/>
            <w:tcBorders>
              <w:top w:val="single" w:sz="12" w:space="0" w:color="008000"/>
              <w:bottom w:val="single" w:sz="6" w:space="0" w:color="008000"/>
            </w:tcBorders>
            <w:shd w:val="clear" w:color="auto" w:fill="FFFFFF"/>
          </w:tcPr>
          <w:p w14:paraId="32925595" w14:textId="77777777" w:rsidR="00BC38EC" w:rsidRDefault="00BC38EC" w:rsidP="007278FF">
            <w:pPr>
              <w:pStyle w:val="CETBodytext"/>
              <w:jc w:val="center"/>
              <w:rPr>
                <w:lang w:val="en-GB"/>
              </w:rPr>
            </w:pPr>
          </w:p>
        </w:tc>
        <w:tc>
          <w:tcPr>
            <w:tcW w:w="858" w:type="dxa"/>
            <w:tcBorders>
              <w:top w:val="single" w:sz="12" w:space="0" w:color="008000"/>
              <w:bottom w:val="single" w:sz="6" w:space="0" w:color="008000"/>
            </w:tcBorders>
            <w:shd w:val="clear" w:color="auto" w:fill="FFFFFF"/>
          </w:tcPr>
          <w:p w14:paraId="32EA01A2" w14:textId="77777777" w:rsidR="00BC38EC" w:rsidRPr="00B57B36" w:rsidRDefault="00BC38EC" w:rsidP="007278FF">
            <w:pPr>
              <w:pStyle w:val="CETBodytext"/>
              <w:jc w:val="center"/>
              <w:rPr>
                <w:lang w:val="en-GB"/>
              </w:rPr>
            </w:pPr>
            <w:r>
              <w:rPr>
                <w:lang w:val="en-GB"/>
              </w:rPr>
              <w:t>Yield (%)</w:t>
            </w:r>
          </w:p>
        </w:tc>
        <w:tc>
          <w:tcPr>
            <w:tcW w:w="1134" w:type="dxa"/>
            <w:tcBorders>
              <w:top w:val="single" w:sz="12" w:space="0" w:color="008000"/>
              <w:bottom w:val="single" w:sz="6" w:space="0" w:color="008000"/>
            </w:tcBorders>
            <w:shd w:val="clear" w:color="auto" w:fill="FFFFFF"/>
          </w:tcPr>
          <w:p w14:paraId="564D68C9" w14:textId="77777777" w:rsidR="00BC38EC" w:rsidRPr="00B57B36" w:rsidRDefault="00BC38EC" w:rsidP="007278FF">
            <w:pPr>
              <w:pStyle w:val="CETBodytext"/>
              <w:ind w:right="-1"/>
              <w:jc w:val="center"/>
              <w:rPr>
                <w:rFonts w:cs="Arial"/>
                <w:szCs w:val="18"/>
                <w:lang w:val="en-GB"/>
              </w:rPr>
            </w:pPr>
            <w:r>
              <w:rPr>
                <w:rFonts w:cs="Arial"/>
                <w:szCs w:val="18"/>
                <w:lang w:val="en-GB"/>
              </w:rPr>
              <w:t>Yield (%)</w:t>
            </w:r>
          </w:p>
        </w:tc>
        <w:tc>
          <w:tcPr>
            <w:tcW w:w="1984" w:type="dxa"/>
            <w:gridSpan w:val="2"/>
            <w:tcBorders>
              <w:top w:val="single" w:sz="12" w:space="0" w:color="008000"/>
              <w:bottom w:val="single" w:sz="6" w:space="0" w:color="008000"/>
            </w:tcBorders>
            <w:shd w:val="clear" w:color="auto" w:fill="FFFFFF"/>
          </w:tcPr>
          <w:p w14:paraId="72B9C50D" w14:textId="77777777" w:rsidR="00BC38EC" w:rsidRPr="00975E13" w:rsidRDefault="00BC38EC" w:rsidP="00114B89">
            <w:pPr>
              <w:pStyle w:val="CETBodytext"/>
              <w:ind w:right="-1"/>
              <w:jc w:val="center"/>
              <w:rPr>
                <w:rFonts w:cs="Arial"/>
                <w:szCs w:val="18"/>
                <w:lang w:val="en-GB"/>
              </w:rPr>
            </w:pPr>
            <w:r w:rsidRPr="00975E13">
              <w:rPr>
                <w:rFonts w:cs="Arial"/>
                <w:szCs w:val="18"/>
                <w:lang w:val="en-GB"/>
              </w:rPr>
              <w:t>Surface Area (m</w:t>
            </w:r>
            <w:r w:rsidRPr="00975E13">
              <w:rPr>
                <w:rFonts w:cs="Arial"/>
                <w:szCs w:val="18"/>
                <w:vertAlign w:val="superscript"/>
                <w:lang w:val="en-GB"/>
              </w:rPr>
              <w:t>2</w:t>
            </w:r>
            <w:r>
              <w:rPr>
                <w:rFonts w:cs="Arial"/>
                <w:szCs w:val="18"/>
                <w:vertAlign w:val="superscript"/>
                <w:lang w:val="en-GB"/>
              </w:rPr>
              <w:t xml:space="preserve"> </w:t>
            </w:r>
            <w:r w:rsidRPr="00975E13">
              <w:rPr>
                <w:rFonts w:cs="Arial"/>
                <w:szCs w:val="18"/>
                <w:lang w:val="en-GB"/>
              </w:rPr>
              <w:t>g</w:t>
            </w:r>
            <w:r w:rsidRPr="00975E13">
              <w:rPr>
                <w:rFonts w:cs="Arial"/>
                <w:szCs w:val="18"/>
                <w:vertAlign w:val="superscript"/>
                <w:lang w:val="en-GB"/>
              </w:rPr>
              <w:t>-1</w:t>
            </w:r>
            <w:r w:rsidRPr="00975E13">
              <w:rPr>
                <w:rFonts w:cs="Arial"/>
                <w:szCs w:val="18"/>
                <w:lang w:val="en-GB"/>
              </w:rPr>
              <w:t>)</w:t>
            </w:r>
          </w:p>
        </w:tc>
        <w:tc>
          <w:tcPr>
            <w:tcW w:w="1402" w:type="dxa"/>
            <w:gridSpan w:val="2"/>
            <w:tcBorders>
              <w:top w:val="single" w:sz="12" w:space="0" w:color="008000"/>
              <w:bottom w:val="single" w:sz="6" w:space="0" w:color="008000"/>
            </w:tcBorders>
            <w:shd w:val="clear" w:color="auto" w:fill="FFFFFF"/>
          </w:tcPr>
          <w:p w14:paraId="5BC9825A" w14:textId="77777777" w:rsidR="00BC38EC" w:rsidRPr="00975E13" w:rsidRDefault="00BC38EC">
            <w:pPr>
              <w:pStyle w:val="CETBodytext"/>
              <w:ind w:right="-1"/>
              <w:jc w:val="center"/>
              <w:rPr>
                <w:rFonts w:cs="Arial"/>
                <w:szCs w:val="18"/>
                <w:lang w:val="en-GB"/>
              </w:rPr>
            </w:pPr>
            <w:r>
              <w:rPr>
                <w:rFonts w:cs="Arial"/>
                <w:szCs w:val="18"/>
                <w:lang w:val="en-GB"/>
              </w:rPr>
              <w:t>SS (%)</w:t>
            </w:r>
          </w:p>
        </w:tc>
      </w:tr>
      <w:tr w:rsidR="00794A36" w:rsidRPr="00B57B36" w14:paraId="1ABDA9DE" w14:textId="77777777" w:rsidTr="00C112C5">
        <w:trPr>
          <w:trHeight w:val="244"/>
        </w:trPr>
        <w:tc>
          <w:tcPr>
            <w:tcW w:w="851" w:type="dxa"/>
            <w:tcBorders>
              <w:top w:val="single" w:sz="12" w:space="0" w:color="008000"/>
              <w:bottom w:val="single" w:sz="6" w:space="0" w:color="008000"/>
            </w:tcBorders>
            <w:shd w:val="clear" w:color="auto" w:fill="FFFFFF"/>
          </w:tcPr>
          <w:p w14:paraId="30852AFF" w14:textId="77777777" w:rsidR="00794A36" w:rsidRDefault="00794A36" w:rsidP="000D33F0">
            <w:pPr>
              <w:pStyle w:val="CETBodytext"/>
              <w:rPr>
                <w:lang w:val="en-GB"/>
              </w:rPr>
            </w:pPr>
          </w:p>
        </w:tc>
        <w:tc>
          <w:tcPr>
            <w:tcW w:w="709" w:type="dxa"/>
            <w:tcBorders>
              <w:top w:val="single" w:sz="12" w:space="0" w:color="008000"/>
              <w:bottom w:val="single" w:sz="6" w:space="0" w:color="008000"/>
            </w:tcBorders>
            <w:shd w:val="clear" w:color="auto" w:fill="FFFFFF"/>
          </w:tcPr>
          <w:p w14:paraId="7FCF36C0" w14:textId="77777777" w:rsidR="00794A36" w:rsidRDefault="00794A36" w:rsidP="00C112C5">
            <w:pPr>
              <w:pStyle w:val="CETBodytext"/>
              <w:jc w:val="center"/>
              <w:rPr>
                <w:lang w:val="en-GB"/>
              </w:rPr>
            </w:pPr>
          </w:p>
        </w:tc>
        <w:tc>
          <w:tcPr>
            <w:tcW w:w="858" w:type="dxa"/>
            <w:tcBorders>
              <w:top w:val="single" w:sz="12" w:space="0" w:color="008000"/>
              <w:bottom w:val="single" w:sz="6" w:space="0" w:color="008000"/>
            </w:tcBorders>
            <w:shd w:val="clear" w:color="auto" w:fill="FFFFFF"/>
          </w:tcPr>
          <w:p w14:paraId="4B7453D8" w14:textId="77777777" w:rsidR="00794A36" w:rsidRDefault="00794A36" w:rsidP="00C112C5">
            <w:pPr>
              <w:pStyle w:val="CETBodytext"/>
              <w:jc w:val="center"/>
              <w:rPr>
                <w:lang w:val="en-GB"/>
              </w:rPr>
            </w:pPr>
            <w:r>
              <w:rPr>
                <w:lang w:val="en-GB"/>
              </w:rPr>
              <w:t>300 ºC</w:t>
            </w:r>
          </w:p>
        </w:tc>
        <w:tc>
          <w:tcPr>
            <w:tcW w:w="1134" w:type="dxa"/>
            <w:tcBorders>
              <w:top w:val="single" w:sz="12" w:space="0" w:color="008000"/>
              <w:bottom w:val="single" w:sz="6" w:space="0" w:color="008000"/>
            </w:tcBorders>
            <w:shd w:val="clear" w:color="auto" w:fill="FFFFFF"/>
          </w:tcPr>
          <w:p w14:paraId="48C1551E" w14:textId="77777777" w:rsidR="00794A36" w:rsidRDefault="00794A36" w:rsidP="00C112C5">
            <w:pPr>
              <w:pStyle w:val="CETBodytext"/>
              <w:ind w:right="-1"/>
              <w:jc w:val="center"/>
              <w:rPr>
                <w:rFonts w:cs="Arial"/>
                <w:szCs w:val="18"/>
                <w:lang w:val="en-GB"/>
              </w:rPr>
            </w:pPr>
            <w:r>
              <w:rPr>
                <w:rFonts w:cs="Arial"/>
                <w:szCs w:val="18"/>
                <w:lang w:val="en-GB"/>
              </w:rPr>
              <w:t>500 ºC</w:t>
            </w:r>
          </w:p>
        </w:tc>
        <w:tc>
          <w:tcPr>
            <w:tcW w:w="850" w:type="dxa"/>
            <w:tcBorders>
              <w:top w:val="single" w:sz="12" w:space="0" w:color="008000"/>
              <w:bottom w:val="single" w:sz="6" w:space="0" w:color="008000"/>
            </w:tcBorders>
            <w:shd w:val="clear" w:color="auto" w:fill="FFFFFF"/>
          </w:tcPr>
          <w:p w14:paraId="3BEB3CF6" w14:textId="77777777" w:rsidR="00794A36" w:rsidRPr="00DE1F83" w:rsidRDefault="00794A36" w:rsidP="00C112C5">
            <w:pPr>
              <w:pStyle w:val="CETBodytext"/>
              <w:ind w:right="-1"/>
              <w:jc w:val="center"/>
              <w:rPr>
                <w:rFonts w:cs="Arial"/>
                <w:szCs w:val="18"/>
                <w:lang w:val="en-GB"/>
              </w:rPr>
            </w:pPr>
            <w:r>
              <w:rPr>
                <w:rFonts w:cs="Arial"/>
                <w:szCs w:val="18"/>
                <w:lang w:val="en-GB"/>
              </w:rPr>
              <w:t>300 ºC</w:t>
            </w:r>
          </w:p>
        </w:tc>
        <w:tc>
          <w:tcPr>
            <w:tcW w:w="1134" w:type="dxa"/>
            <w:tcBorders>
              <w:top w:val="single" w:sz="12" w:space="0" w:color="008000"/>
              <w:bottom w:val="single" w:sz="6" w:space="0" w:color="008000"/>
            </w:tcBorders>
            <w:shd w:val="clear" w:color="auto" w:fill="FFFFFF"/>
          </w:tcPr>
          <w:p w14:paraId="4A8E73C5" w14:textId="77777777" w:rsidR="00794A36" w:rsidRPr="00DE1F83" w:rsidRDefault="00794A36" w:rsidP="00C112C5">
            <w:pPr>
              <w:pStyle w:val="CETBodytext"/>
              <w:ind w:right="-1"/>
              <w:jc w:val="center"/>
              <w:rPr>
                <w:rFonts w:cs="Arial"/>
                <w:szCs w:val="18"/>
                <w:lang w:val="en-GB"/>
              </w:rPr>
            </w:pPr>
            <w:r>
              <w:rPr>
                <w:rFonts w:cs="Arial"/>
                <w:szCs w:val="18"/>
                <w:lang w:val="en-GB"/>
              </w:rPr>
              <w:t>500 ºC</w:t>
            </w:r>
          </w:p>
        </w:tc>
        <w:tc>
          <w:tcPr>
            <w:tcW w:w="701" w:type="dxa"/>
            <w:tcBorders>
              <w:top w:val="single" w:sz="12" w:space="0" w:color="008000"/>
              <w:bottom w:val="single" w:sz="6" w:space="0" w:color="008000"/>
            </w:tcBorders>
            <w:shd w:val="clear" w:color="auto" w:fill="FFFFFF"/>
          </w:tcPr>
          <w:p w14:paraId="55FC3491" w14:textId="77777777" w:rsidR="00794A36" w:rsidRDefault="00794A36" w:rsidP="00C112C5">
            <w:pPr>
              <w:pStyle w:val="CETBodytext"/>
              <w:ind w:right="-1"/>
              <w:jc w:val="center"/>
              <w:rPr>
                <w:rFonts w:cs="Arial"/>
                <w:szCs w:val="18"/>
                <w:lang w:val="en-GB"/>
              </w:rPr>
            </w:pPr>
            <w:r>
              <w:rPr>
                <w:rFonts w:cs="Arial"/>
                <w:szCs w:val="18"/>
                <w:lang w:val="en-GB"/>
              </w:rPr>
              <w:t>300 ºC</w:t>
            </w:r>
          </w:p>
        </w:tc>
        <w:tc>
          <w:tcPr>
            <w:tcW w:w="701" w:type="dxa"/>
            <w:tcBorders>
              <w:top w:val="single" w:sz="12" w:space="0" w:color="008000"/>
              <w:bottom w:val="single" w:sz="6" w:space="0" w:color="008000"/>
            </w:tcBorders>
            <w:shd w:val="clear" w:color="auto" w:fill="FFFFFF"/>
          </w:tcPr>
          <w:p w14:paraId="47797D03" w14:textId="77777777" w:rsidR="00794A36" w:rsidRDefault="00794A36" w:rsidP="00C112C5">
            <w:pPr>
              <w:pStyle w:val="CETBodytext"/>
              <w:ind w:right="-1"/>
              <w:jc w:val="center"/>
              <w:rPr>
                <w:rFonts w:cs="Arial"/>
                <w:szCs w:val="18"/>
                <w:lang w:val="en-GB"/>
              </w:rPr>
            </w:pPr>
            <w:r>
              <w:rPr>
                <w:rFonts w:cs="Arial"/>
                <w:szCs w:val="18"/>
                <w:lang w:val="en-GB"/>
              </w:rPr>
              <w:t>500 ºC</w:t>
            </w:r>
          </w:p>
        </w:tc>
      </w:tr>
      <w:tr w:rsidR="00794A36" w:rsidRPr="00B57B36" w14:paraId="53DC08F6" w14:textId="77777777" w:rsidTr="000B2C8C">
        <w:trPr>
          <w:trHeight w:val="266"/>
        </w:trPr>
        <w:tc>
          <w:tcPr>
            <w:tcW w:w="851" w:type="dxa"/>
            <w:vMerge w:val="restart"/>
            <w:shd w:val="clear" w:color="auto" w:fill="FFFFFF"/>
          </w:tcPr>
          <w:p w14:paraId="792A71F3" w14:textId="77777777" w:rsidR="00794A36" w:rsidRPr="005F3544" w:rsidRDefault="00794A36" w:rsidP="00114B89">
            <w:pPr>
              <w:pStyle w:val="CETBodytext"/>
              <w:jc w:val="left"/>
              <w:rPr>
                <w:lang w:val="pt-PT"/>
              </w:rPr>
            </w:pPr>
          </w:p>
          <w:p w14:paraId="6C628258" w14:textId="77777777" w:rsidR="00794A36" w:rsidRPr="00B57B36" w:rsidRDefault="00794A36" w:rsidP="00114B89">
            <w:pPr>
              <w:pStyle w:val="CETBodytext"/>
              <w:jc w:val="left"/>
              <w:rPr>
                <w:lang w:val="en-GB"/>
              </w:rPr>
            </w:pPr>
            <w:r>
              <w:rPr>
                <w:lang w:val="pt-PT"/>
              </w:rPr>
              <w:t>N</w:t>
            </w:r>
            <w:r w:rsidRPr="00ED1FFB">
              <w:rPr>
                <w:vertAlign w:val="subscript"/>
                <w:lang w:val="pt-PT"/>
              </w:rPr>
              <w:t>2</w:t>
            </w:r>
          </w:p>
          <w:p w14:paraId="1A2F489B" w14:textId="77777777" w:rsidR="00794A36" w:rsidRPr="005F3544" w:rsidRDefault="00794A36" w:rsidP="00114B89">
            <w:pPr>
              <w:pStyle w:val="CETBodytext"/>
              <w:jc w:val="left"/>
              <w:rPr>
                <w:lang w:val="pt-PT"/>
              </w:rPr>
            </w:pPr>
          </w:p>
        </w:tc>
        <w:tc>
          <w:tcPr>
            <w:tcW w:w="709" w:type="dxa"/>
            <w:shd w:val="clear" w:color="auto" w:fill="FFFFFF"/>
          </w:tcPr>
          <w:p w14:paraId="230125AC" w14:textId="504C7085" w:rsidR="00794A36" w:rsidRDefault="00794A36" w:rsidP="00114B89">
            <w:pPr>
              <w:pStyle w:val="CETBodytext"/>
              <w:jc w:val="left"/>
              <w:rPr>
                <w:lang w:val="en-GB"/>
              </w:rPr>
            </w:pPr>
            <w:r>
              <w:rPr>
                <w:lang w:val="pt-PT"/>
              </w:rPr>
              <w:t>IH-</w:t>
            </w:r>
            <w:r w:rsidR="00A771F1">
              <w:rPr>
                <w:lang w:val="pt-PT"/>
              </w:rPr>
              <w:t>16</w:t>
            </w:r>
          </w:p>
        </w:tc>
        <w:tc>
          <w:tcPr>
            <w:tcW w:w="858" w:type="dxa"/>
            <w:shd w:val="clear" w:color="auto" w:fill="FFFFFF"/>
          </w:tcPr>
          <w:p w14:paraId="7E0EF645" w14:textId="77777777" w:rsidR="00794A36" w:rsidRDefault="00794A36" w:rsidP="007278FF">
            <w:pPr>
              <w:pStyle w:val="CETBodytext"/>
              <w:jc w:val="center"/>
              <w:rPr>
                <w:lang w:val="en-GB"/>
              </w:rPr>
            </w:pPr>
            <w:r>
              <w:rPr>
                <w:lang w:val="en-GB"/>
              </w:rPr>
              <w:t>62</w:t>
            </w:r>
          </w:p>
        </w:tc>
        <w:tc>
          <w:tcPr>
            <w:tcW w:w="1134" w:type="dxa"/>
            <w:shd w:val="clear" w:color="auto" w:fill="FFFFFF"/>
          </w:tcPr>
          <w:p w14:paraId="1F0ABD83" w14:textId="77777777" w:rsidR="00794A36" w:rsidRDefault="00794A36" w:rsidP="007278FF">
            <w:pPr>
              <w:pStyle w:val="CETBodytext"/>
              <w:ind w:right="-1"/>
              <w:jc w:val="center"/>
              <w:rPr>
                <w:lang w:val="en-GB"/>
              </w:rPr>
            </w:pPr>
            <w:r>
              <w:rPr>
                <w:lang w:val="en-GB"/>
              </w:rPr>
              <w:t>22</w:t>
            </w:r>
          </w:p>
        </w:tc>
        <w:tc>
          <w:tcPr>
            <w:tcW w:w="850" w:type="dxa"/>
            <w:shd w:val="clear" w:color="auto" w:fill="FFFFFF"/>
          </w:tcPr>
          <w:p w14:paraId="7A151B96"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1134" w:type="dxa"/>
            <w:shd w:val="clear" w:color="auto" w:fill="FFFFFF"/>
          </w:tcPr>
          <w:p w14:paraId="16D030E5"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701" w:type="dxa"/>
            <w:shd w:val="clear" w:color="auto" w:fill="FFFFFF"/>
          </w:tcPr>
          <w:p w14:paraId="4BF08E24" w14:textId="77777777" w:rsidR="00794A36" w:rsidRPr="003A2B0A" w:rsidRDefault="00BC38EC" w:rsidP="007278FF">
            <w:pPr>
              <w:pStyle w:val="CETBodytext"/>
              <w:ind w:right="-1"/>
              <w:jc w:val="center"/>
              <w:rPr>
                <w:rFonts w:cs="Arial"/>
                <w:szCs w:val="18"/>
                <w:lang w:val="en-GB"/>
              </w:rPr>
            </w:pPr>
            <w:r>
              <w:rPr>
                <w:rFonts w:cs="Arial"/>
                <w:szCs w:val="18"/>
                <w:lang w:val="en-GB"/>
              </w:rPr>
              <w:t xml:space="preserve">26 </w:t>
            </w:r>
          </w:p>
        </w:tc>
        <w:tc>
          <w:tcPr>
            <w:tcW w:w="701" w:type="dxa"/>
            <w:shd w:val="clear" w:color="auto" w:fill="FFFFFF"/>
          </w:tcPr>
          <w:p w14:paraId="6689E9D2" w14:textId="77777777" w:rsidR="00794A36" w:rsidRPr="003A2B0A" w:rsidRDefault="00BC38EC" w:rsidP="007278FF">
            <w:pPr>
              <w:pStyle w:val="CETBodytext"/>
              <w:ind w:right="-1"/>
              <w:jc w:val="center"/>
              <w:rPr>
                <w:rFonts w:cs="Arial"/>
                <w:szCs w:val="18"/>
                <w:lang w:val="en-GB"/>
              </w:rPr>
            </w:pPr>
            <w:r>
              <w:rPr>
                <w:rFonts w:cs="Arial"/>
                <w:szCs w:val="18"/>
                <w:lang w:val="en-GB"/>
              </w:rPr>
              <w:t>74</w:t>
            </w:r>
          </w:p>
        </w:tc>
      </w:tr>
      <w:tr w:rsidR="00794A36" w:rsidRPr="00B57B36" w14:paraId="61C4B0EF" w14:textId="77777777" w:rsidTr="000B2C8C">
        <w:trPr>
          <w:trHeight w:val="275"/>
        </w:trPr>
        <w:tc>
          <w:tcPr>
            <w:tcW w:w="851" w:type="dxa"/>
            <w:vMerge/>
            <w:shd w:val="clear" w:color="auto" w:fill="FFFFFF"/>
          </w:tcPr>
          <w:p w14:paraId="3B509FE2" w14:textId="77777777" w:rsidR="00794A36" w:rsidRPr="00B57B36" w:rsidRDefault="00794A36" w:rsidP="00114B89">
            <w:pPr>
              <w:pStyle w:val="CETBodytext"/>
              <w:jc w:val="left"/>
              <w:rPr>
                <w:lang w:val="en-GB"/>
              </w:rPr>
            </w:pPr>
          </w:p>
        </w:tc>
        <w:tc>
          <w:tcPr>
            <w:tcW w:w="709" w:type="dxa"/>
            <w:shd w:val="clear" w:color="auto" w:fill="FFFFFF"/>
          </w:tcPr>
          <w:p w14:paraId="1F1264C4" w14:textId="3A8E0C80" w:rsidR="00794A36" w:rsidRDefault="00794A36" w:rsidP="00114B89">
            <w:pPr>
              <w:pStyle w:val="CETBodytext"/>
              <w:jc w:val="left"/>
              <w:rPr>
                <w:lang w:val="en-GB"/>
              </w:rPr>
            </w:pPr>
            <w:r w:rsidRPr="005F3544">
              <w:rPr>
                <w:lang w:val="pt-PT"/>
              </w:rPr>
              <w:t>IH-</w:t>
            </w:r>
            <w:r w:rsidR="00A771F1">
              <w:rPr>
                <w:lang w:val="pt-PT"/>
              </w:rPr>
              <w:t>36</w:t>
            </w:r>
          </w:p>
        </w:tc>
        <w:tc>
          <w:tcPr>
            <w:tcW w:w="858" w:type="dxa"/>
            <w:shd w:val="clear" w:color="auto" w:fill="FFFFFF"/>
          </w:tcPr>
          <w:p w14:paraId="1FB06781" w14:textId="77777777" w:rsidR="00794A36" w:rsidRDefault="00794A36" w:rsidP="007278FF">
            <w:pPr>
              <w:pStyle w:val="CETBodytext"/>
              <w:jc w:val="center"/>
              <w:rPr>
                <w:lang w:val="en-GB"/>
              </w:rPr>
            </w:pPr>
            <w:r>
              <w:rPr>
                <w:lang w:val="en-GB"/>
              </w:rPr>
              <w:t>70</w:t>
            </w:r>
          </w:p>
        </w:tc>
        <w:tc>
          <w:tcPr>
            <w:tcW w:w="1134" w:type="dxa"/>
            <w:shd w:val="clear" w:color="auto" w:fill="FFFFFF"/>
          </w:tcPr>
          <w:p w14:paraId="4D7F9176" w14:textId="77777777" w:rsidR="00794A36" w:rsidRPr="00B57B36" w:rsidRDefault="00794A36" w:rsidP="007278FF">
            <w:pPr>
              <w:pStyle w:val="CETBodytext"/>
              <w:ind w:right="-1"/>
              <w:jc w:val="center"/>
              <w:rPr>
                <w:rFonts w:cs="Arial"/>
                <w:szCs w:val="18"/>
                <w:lang w:val="en-GB"/>
              </w:rPr>
            </w:pPr>
            <w:r>
              <w:rPr>
                <w:rFonts w:cs="Arial"/>
                <w:szCs w:val="18"/>
                <w:lang w:val="en-GB"/>
              </w:rPr>
              <w:t>42</w:t>
            </w:r>
          </w:p>
        </w:tc>
        <w:tc>
          <w:tcPr>
            <w:tcW w:w="850" w:type="dxa"/>
            <w:shd w:val="clear" w:color="auto" w:fill="FFFFFF"/>
          </w:tcPr>
          <w:p w14:paraId="31FC2E4A"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1134" w:type="dxa"/>
            <w:shd w:val="clear" w:color="auto" w:fill="FFFFFF"/>
          </w:tcPr>
          <w:p w14:paraId="32889F3B"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701" w:type="dxa"/>
            <w:shd w:val="clear" w:color="auto" w:fill="FFFFFF"/>
          </w:tcPr>
          <w:p w14:paraId="3E5165D0" w14:textId="77777777" w:rsidR="00794A36" w:rsidRPr="003A2B0A" w:rsidRDefault="00BC38EC" w:rsidP="007278FF">
            <w:pPr>
              <w:pStyle w:val="CETBodytext"/>
              <w:ind w:right="-1"/>
              <w:jc w:val="center"/>
              <w:rPr>
                <w:rFonts w:cs="Arial"/>
                <w:szCs w:val="18"/>
                <w:lang w:val="en-GB"/>
              </w:rPr>
            </w:pPr>
            <w:r>
              <w:rPr>
                <w:rFonts w:cs="Arial"/>
                <w:szCs w:val="18"/>
                <w:lang w:val="en-GB"/>
              </w:rPr>
              <w:t>51</w:t>
            </w:r>
          </w:p>
        </w:tc>
        <w:tc>
          <w:tcPr>
            <w:tcW w:w="701" w:type="dxa"/>
            <w:shd w:val="clear" w:color="auto" w:fill="FFFFFF"/>
          </w:tcPr>
          <w:p w14:paraId="53BBAC0F" w14:textId="77777777" w:rsidR="00794A36" w:rsidRPr="003A2B0A" w:rsidRDefault="00BC38EC" w:rsidP="007278FF">
            <w:pPr>
              <w:pStyle w:val="CETBodytext"/>
              <w:ind w:right="-1"/>
              <w:jc w:val="center"/>
              <w:rPr>
                <w:rFonts w:cs="Arial"/>
                <w:szCs w:val="18"/>
                <w:lang w:val="en-GB"/>
              </w:rPr>
            </w:pPr>
            <w:r>
              <w:rPr>
                <w:rFonts w:cs="Arial"/>
                <w:szCs w:val="18"/>
                <w:lang w:val="en-GB"/>
              </w:rPr>
              <w:t>85</w:t>
            </w:r>
          </w:p>
        </w:tc>
      </w:tr>
      <w:tr w:rsidR="00794A36" w:rsidRPr="00B57B36" w14:paraId="22212B98" w14:textId="77777777" w:rsidTr="000B2C8C">
        <w:trPr>
          <w:trHeight w:val="266"/>
        </w:trPr>
        <w:tc>
          <w:tcPr>
            <w:tcW w:w="851" w:type="dxa"/>
            <w:vMerge/>
            <w:shd w:val="clear" w:color="auto" w:fill="FFFFFF"/>
          </w:tcPr>
          <w:p w14:paraId="51C4B9D5" w14:textId="77777777" w:rsidR="00794A36" w:rsidRPr="00B57B36" w:rsidRDefault="00794A36" w:rsidP="00114B89">
            <w:pPr>
              <w:pStyle w:val="CETBodytext"/>
              <w:jc w:val="left"/>
              <w:rPr>
                <w:lang w:val="en-GB"/>
              </w:rPr>
            </w:pPr>
          </w:p>
        </w:tc>
        <w:tc>
          <w:tcPr>
            <w:tcW w:w="709" w:type="dxa"/>
            <w:shd w:val="clear" w:color="auto" w:fill="FFFFFF"/>
          </w:tcPr>
          <w:p w14:paraId="031A07A2" w14:textId="25F64553" w:rsidR="00794A36" w:rsidRDefault="00794A36" w:rsidP="00114B89">
            <w:pPr>
              <w:pStyle w:val="CETBodytext"/>
              <w:jc w:val="left"/>
              <w:rPr>
                <w:lang w:val="en-GB"/>
              </w:rPr>
            </w:pPr>
            <w:r w:rsidRPr="001F029C">
              <w:rPr>
                <w:lang w:val="en-GB"/>
              </w:rPr>
              <w:t>IH-</w:t>
            </w:r>
            <w:r w:rsidR="00A771F1">
              <w:rPr>
                <w:lang w:val="en-GB"/>
              </w:rPr>
              <w:t>53</w:t>
            </w:r>
          </w:p>
        </w:tc>
        <w:tc>
          <w:tcPr>
            <w:tcW w:w="858" w:type="dxa"/>
            <w:shd w:val="clear" w:color="auto" w:fill="FFFFFF"/>
          </w:tcPr>
          <w:p w14:paraId="18A390DE" w14:textId="77777777" w:rsidR="00794A36" w:rsidRPr="00B57B36" w:rsidRDefault="00794A36" w:rsidP="007278FF">
            <w:pPr>
              <w:pStyle w:val="CETBodytext"/>
              <w:jc w:val="center"/>
              <w:rPr>
                <w:lang w:val="en-GB"/>
              </w:rPr>
            </w:pPr>
            <w:r>
              <w:rPr>
                <w:lang w:val="en-GB"/>
              </w:rPr>
              <w:t>85</w:t>
            </w:r>
          </w:p>
        </w:tc>
        <w:tc>
          <w:tcPr>
            <w:tcW w:w="1134" w:type="dxa"/>
            <w:shd w:val="clear" w:color="auto" w:fill="FFFFFF"/>
          </w:tcPr>
          <w:p w14:paraId="55F96546" w14:textId="77777777" w:rsidR="00794A36" w:rsidRPr="00B57B36" w:rsidRDefault="00794A36" w:rsidP="007278FF">
            <w:pPr>
              <w:pStyle w:val="CETBodytext"/>
              <w:ind w:right="-1"/>
              <w:jc w:val="center"/>
              <w:rPr>
                <w:rFonts w:cs="Arial"/>
                <w:szCs w:val="18"/>
                <w:lang w:val="en-GB"/>
              </w:rPr>
            </w:pPr>
            <w:r>
              <w:rPr>
                <w:lang w:val="en-GB"/>
              </w:rPr>
              <w:t>60</w:t>
            </w:r>
          </w:p>
        </w:tc>
        <w:tc>
          <w:tcPr>
            <w:tcW w:w="850" w:type="dxa"/>
            <w:shd w:val="clear" w:color="auto" w:fill="FFFFFF"/>
          </w:tcPr>
          <w:p w14:paraId="5BAF09FE" w14:textId="77777777" w:rsidR="00794A36" w:rsidRPr="003A2B0A" w:rsidRDefault="00794A36" w:rsidP="007278FF">
            <w:pPr>
              <w:pStyle w:val="CETBodytext"/>
              <w:ind w:right="-1"/>
              <w:jc w:val="center"/>
              <w:rPr>
                <w:rFonts w:cs="Arial"/>
                <w:szCs w:val="18"/>
                <w:lang w:val="en-GB"/>
              </w:rPr>
            </w:pPr>
            <w:r>
              <w:rPr>
                <w:rFonts w:cs="Arial"/>
                <w:szCs w:val="18"/>
                <w:lang w:val="en-GB"/>
              </w:rPr>
              <w:t>&lt; DL</w:t>
            </w:r>
          </w:p>
        </w:tc>
        <w:tc>
          <w:tcPr>
            <w:tcW w:w="1134" w:type="dxa"/>
            <w:shd w:val="clear" w:color="auto" w:fill="FFFFFF"/>
          </w:tcPr>
          <w:p w14:paraId="651F2DC3" w14:textId="4FFF4A82" w:rsidR="00794A36" w:rsidRPr="003A2B0A" w:rsidRDefault="00794A36" w:rsidP="007278FF">
            <w:pPr>
              <w:pStyle w:val="CETBodytext"/>
              <w:ind w:right="-1"/>
              <w:jc w:val="center"/>
              <w:rPr>
                <w:rFonts w:cs="Arial"/>
                <w:szCs w:val="18"/>
                <w:lang w:val="en-GB"/>
              </w:rPr>
            </w:pPr>
            <w:r w:rsidRPr="003A2B0A">
              <w:rPr>
                <w:rFonts w:cs="Arial"/>
                <w:szCs w:val="18"/>
                <w:lang w:val="en-GB"/>
              </w:rPr>
              <w:t>4</w:t>
            </w:r>
            <w:r w:rsidR="00C23A7E">
              <w:rPr>
                <w:rFonts w:cs="Arial"/>
                <w:szCs w:val="18"/>
                <w:lang w:val="en-GB"/>
              </w:rPr>
              <w:t>.</w:t>
            </w:r>
            <w:r w:rsidRPr="003A2B0A">
              <w:rPr>
                <w:rFonts w:cs="Arial"/>
                <w:szCs w:val="18"/>
                <w:lang w:val="en-GB"/>
              </w:rPr>
              <w:t>8</w:t>
            </w:r>
          </w:p>
        </w:tc>
        <w:tc>
          <w:tcPr>
            <w:tcW w:w="701" w:type="dxa"/>
            <w:shd w:val="clear" w:color="auto" w:fill="FFFFFF"/>
          </w:tcPr>
          <w:p w14:paraId="782B7F88" w14:textId="77777777" w:rsidR="00794A36" w:rsidRPr="003A2B0A" w:rsidRDefault="00BC38EC" w:rsidP="007278FF">
            <w:pPr>
              <w:pStyle w:val="CETBodytext"/>
              <w:ind w:right="-1"/>
              <w:jc w:val="center"/>
              <w:rPr>
                <w:rFonts w:cs="Arial"/>
                <w:szCs w:val="18"/>
                <w:lang w:val="en-GB"/>
              </w:rPr>
            </w:pPr>
            <w:r>
              <w:rPr>
                <w:rFonts w:cs="Arial"/>
                <w:szCs w:val="18"/>
                <w:lang w:val="en-GB"/>
              </w:rPr>
              <w:t>62</w:t>
            </w:r>
          </w:p>
        </w:tc>
        <w:tc>
          <w:tcPr>
            <w:tcW w:w="701" w:type="dxa"/>
            <w:shd w:val="clear" w:color="auto" w:fill="FFFFFF"/>
          </w:tcPr>
          <w:p w14:paraId="37C8819D" w14:textId="77777777" w:rsidR="00794A36" w:rsidRPr="003A2B0A" w:rsidRDefault="00BC38EC" w:rsidP="007278FF">
            <w:pPr>
              <w:pStyle w:val="CETBodytext"/>
              <w:ind w:right="-1"/>
              <w:jc w:val="center"/>
              <w:rPr>
                <w:rFonts w:cs="Arial"/>
                <w:szCs w:val="18"/>
                <w:lang w:val="en-GB"/>
              </w:rPr>
            </w:pPr>
            <w:r>
              <w:rPr>
                <w:rFonts w:cs="Arial"/>
                <w:szCs w:val="18"/>
                <w:lang w:val="en-GB"/>
              </w:rPr>
              <w:t>88</w:t>
            </w:r>
          </w:p>
        </w:tc>
      </w:tr>
      <w:tr w:rsidR="00794A36" w:rsidRPr="00B57B36" w14:paraId="2CF0C91D" w14:textId="77777777" w:rsidTr="000B2C8C">
        <w:trPr>
          <w:trHeight w:val="266"/>
        </w:trPr>
        <w:tc>
          <w:tcPr>
            <w:tcW w:w="851" w:type="dxa"/>
            <w:vMerge w:val="restart"/>
            <w:shd w:val="clear" w:color="auto" w:fill="FFFFFF"/>
          </w:tcPr>
          <w:p w14:paraId="6D922B9A" w14:textId="77777777" w:rsidR="00794A36" w:rsidRDefault="00794A36" w:rsidP="00B8044D">
            <w:pPr>
              <w:pStyle w:val="CETBodytext"/>
              <w:jc w:val="left"/>
              <w:rPr>
                <w:lang w:val="en-GB"/>
              </w:rPr>
            </w:pPr>
          </w:p>
          <w:p w14:paraId="1B9F946E" w14:textId="78E3173A" w:rsidR="00794A36" w:rsidRDefault="00794A36" w:rsidP="008817FF">
            <w:pPr>
              <w:pStyle w:val="CETBodytext"/>
              <w:jc w:val="left"/>
              <w:rPr>
                <w:lang w:val="en-GB"/>
              </w:rPr>
            </w:pPr>
            <w:r>
              <w:rPr>
                <w:lang w:val="en-GB"/>
              </w:rPr>
              <w:t>N</w:t>
            </w:r>
            <w:r w:rsidRPr="008817FF">
              <w:rPr>
                <w:vertAlign w:val="subscript"/>
                <w:lang w:val="en-GB"/>
              </w:rPr>
              <w:t>2</w:t>
            </w:r>
            <w:r w:rsidR="00983E73">
              <w:rPr>
                <w:rFonts w:cs="Arial"/>
                <w:lang w:val="en-GB"/>
              </w:rPr>
              <w:t>→</w:t>
            </w:r>
            <w:r>
              <w:rPr>
                <w:lang w:val="en-GB"/>
              </w:rPr>
              <w:t>CO</w:t>
            </w:r>
            <w:r w:rsidRPr="00ED1FFB">
              <w:rPr>
                <w:vertAlign w:val="subscript"/>
                <w:lang w:val="en-GB"/>
              </w:rPr>
              <w:t>2</w:t>
            </w:r>
          </w:p>
          <w:p w14:paraId="540DFF93" w14:textId="77777777" w:rsidR="00794A36" w:rsidRDefault="00794A36" w:rsidP="008817FF">
            <w:pPr>
              <w:pStyle w:val="CETBodytext"/>
              <w:jc w:val="left"/>
              <w:rPr>
                <w:lang w:val="en-GB"/>
              </w:rPr>
            </w:pPr>
          </w:p>
        </w:tc>
        <w:tc>
          <w:tcPr>
            <w:tcW w:w="709" w:type="dxa"/>
            <w:shd w:val="clear" w:color="auto" w:fill="FFFFFF"/>
          </w:tcPr>
          <w:p w14:paraId="38128C69" w14:textId="793ECC8E" w:rsidR="00794A36" w:rsidRDefault="00794A36" w:rsidP="008817FF">
            <w:pPr>
              <w:pStyle w:val="CETBodytext"/>
              <w:jc w:val="left"/>
              <w:rPr>
                <w:lang w:val="en-GB"/>
              </w:rPr>
            </w:pPr>
            <w:r>
              <w:rPr>
                <w:lang w:val="en-GB"/>
              </w:rPr>
              <w:t>IH-</w:t>
            </w:r>
            <w:r w:rsidR="00A771F1">
              <w:rPr>
                <w:lang w:val="en-GB"/>
              </w:rPr>
              <w:t>16</w:t>
            </w:r>
          </w:p>
        </w:tc>
        <w:tc>
          <w:tcPr>
            <w:tcW w:w="858" w:type="dxa"/>
            <w:shd w:val="clear" w:color="auto" w:fill="FFFFFF"/>
          </w:tcPr>
          <w:p w14:paraId="3AA16219" w14:textId="77777777" w:rsidR="00794A36" w:rsidRPr="00B57B36" w:rsidRDefault="00794A36" w:rsidP="007278FF">
            <w:pPr>
              <w:pStyle w:val="CETBodytext"/>
              <w:jc w:val="center"/>
              <w:rPr>
                <w:lang w:val="en-GB"/>
              </w:rPr>
            </w:pPr>
            <w:r>
              <w:rPr>
                <w:lang w:val="en-GB"/>
              </w:rPr>
              <w:t>54</w:t>
            </w:r>
          </w:p>
        </w:tc>
        <w:tc>
          <w:tcPr>
            <w:tcW w:w="1134" w:type="dxa"/>
            <w:shd w:val="clear" w:color="auto" w:fill="FFFFFF"/>
          </w:tcPr>
          <w:p w14:paraId="5C3D3DA2" w14:textId="77777777" w:rsidR="00794A36" w:rsidRPr="00B57B36" w:rsidRDefault="00794A36" w:rsidP="007278FF">
            <w:pPr>
              <w:pStyle w:val="CETBodytext"/>
              <w:ind w:right="-1"/>
              <w:jc w:val="center"/>
              <w:rPr>
                <w:rFonts w:cs="Arial"/>
                <w:szCs w:val="18"/>
                <w:lang w:val="en-GB"/>
              </w:rPr>
            </w:pPr>
            <w:r>
              <w:rPr>
                <w:rFonts w:cs="Arial"/>
                <w:szCs w:val="18"/>
                <w:lang w:val="en-GB"/>
              </w:rPr>
              <w:t>21</w:t>
            </w:r>
          </w:p>
        </w:tc>
        <w:tc>
          <w:tcPr>
            <w:tcW w:w="850" w:type="dxa"/>
            <w:shd w:val="clear" w:color="auto" w:fill="FFFFFF"/>
          </w:tcPr>
          <w:p w14:paraId="347266EA"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1134" w:type="dxa"/>
            <w:shd w:val="clear" w:color="auto" w:fill="FFFFFF"/>
          </w:tcPr>
          <w:p w14:paraId="23E2EA8A"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701" w:type="dxa"/>
            <w:shd w:val="clear" w:color="auto" w:fill="FFFFFF"/>
          </w:tcPr>
          <w:p w14:paraId="534C6734" w14:textId="77777777" w:rsidR="00794A36" w:rsidRPr="003A2B0A" w:rsidRDefault="00BC38EC" w:rsidP="007278FF">
            <w:pPr>
              <w:pStyle w:val="CETBodytext"/>
              <w:ind w:right="-1"/>
              <w:jc w:val="center"/>
              <w:rPr>
                <w:rFonts w:cs="Arial"/>
                <w:szCs w:val="18"/>
                <w:lang w:val="en-GB"/>
              </w:rPr>
            </w:pPr>
            <w:r>
              <w:rPr>
                <w:rFonts w:cs="Arial"/>
                <w:szCs w:val="18"/>
                <w:lang w:val="en-GB"/>
              </w:rPr>
              <w:t>30</w:t>
            </w:r>
          </w:p>
        </w:tc>
        <w:tc>
          <w:tcPr>
            <w:tcW w:w="701" w:type="dxa"/>
            <w:shd w:val="clear" w:color="auto" w:fill="FFFFFF"/>
          </w:tcPr>
          <w:p w14:paraId="35202323" w14:textId="77777777" w:rsidR="00794A36" w:rsidRPr="003A2B0A" w:rsidRDefault="00BC38EC" w:rsidP="007278FF">
            <w:pPr>
              <w:pStyle w:val="CETBodytext"/>
              <w:ind w:right="-1"/>
              <w:jc w:val="center"/>
              <w:rPr>
                <w:rFonts w:cs="Arial"/>
                <w:szCs w:val="18"/>
                <w:lang w:val="en-GB"/>
              </w:rPr>
            </w:pPr>
            <w:r>
              <w:rPr>
                <w:rFonts w:cs="Arial"/>
                <w:szCs w:val="18"/>
                <w:lang w:val="en-GB"/>
              </w:rPr>
              <w:t>77</w:t>
            </w:r>
          </w:p>
        </w:tc>
      </w:tr>
      <w:tr w:rsidR="00794A36" w:rsidRPr="00B57B36" w14:paraId="1891A5BF" w14:textId="77777777" w:rsidTr="000B2C8C">
        <w:trPr>
          <w:trHeight w:val="275"/>
        </w:trPr>
        <w:tc>
          <w:tcPr>
            <w:tcW w:w="851" w:type="dxa"/>
            <w:vMerge/>
            <w:shd w:val="clear" w:color="auto" w:fill="FFFFFF"/>
          </w:tcPr>
          <w:p w14:paraId="2C601762" w14:textId="77777777" w:rsidR="00794A36" w:rsidRDefault="00794A36" w:rsidP="007278FF">
            <w:pPr>
              <w:pStyle w:val="CETBodytext"/>
              <w:rPr>
                <w:lang w:val="en-GB"/>
              </w:rPr>
            </w:pPr>
          </w:p>
        </w:tc>
        <w:tc>
          <w:tcPr>
            <w:tcW w:w="709" w:type="dxa"/>
            <w:shd w:val="clear" w:color="auto" w:fill="FFFFFF"/>
          </w:tcPr>
          <w:p w14:paraId="7D6DC6C4" w14:textId="62AD4DDE" w:rsidR="00794A36" w:rsidRDefault="00794A36" w:rsidP="008817FF">
            <w:pPr>
              <w:pStyle w:val="CETBodytext"/>
              <w:jc w:val="left"/>
              <w:rPr>
                <w:lang w:val="en-GB"/>
              </w:rPr>
            </w:pPr>
            <w:r>
              <w:rPr>
                <w:lang w:val="en-GB"/>
              </w:rPr>
              <w:t>IH-</w:t>
            </w:r>
            <w:r w:rsidR="00A771F1">
              <w:rPr>
                <w:lang w:val="en-GB"/>
              </w:rPr>
              <w:t>36</w:t>
            </w:r>
          </w:p>
        </w:tc>
        <w:tc>
          <w:tcPr>
            <w:tcW w:w="858" w:type="dxa"/>
            <w:shd w:val="clear" w:color="auto" w:fill="FFFFFF"/>
          </w:tcPr>
          <w:p w14:paraId="776F47EF" w14:textId="77777777" w:rsidR="00794A36" w:rsidRDefault="00794A36" w:rsidP="007278FF">
            <w:pPr>
              <w:pStyle w:val="CETBodytext"/>
              <w:jc w:val="center"/>
              <w:rPr>
                <w:lang w:val="en-GB"/>
              </w:rPr>
            </w:pPr>
            <w:r>
              <w:rPr>
                <w:lang w:val="en-GB"/>
              </w:rPr>
              <w:t>67</w:t>
            </w:r>
          </w:p>
        </w:tc>
        <w:tc>
          <w:tcPr>
            <w:tcW w:w="1134" w:type="dxa"/>
            <w:shd w:val="clear" w:color="auto" w:fill="FFFFFF"/>
          </w:tcPr>
          <w:p w14:paraId="03278A0C" w14:textId="77777777" w:rsidR="00794A36" w:rsidRPr="00B57B36" w:rsidRDefault="00794A36" w:rsidP="007278FF">
            <w:pPr>
              <w:pStyle w:val="CETBodytext"/>
              <w:ind w:right="-1"/>
              <w:jc w:val="center"/>
              <w:rPr>
                <w:rFonts w:cs="Arial"/>
                <w:szCs w:val="18"/>
                <w:lang w:val="en-GB"/>
              </w:rPr>
            </w:pPr>
            <w:r>
              <w:rPr>
                <w:rFonts w:cs="Arial"/>
                <w:szCs w:val="18"/>
                <w:lang w:val="en-GB"/>
              </w:rPr>
              <w:t>42</w:t>
            </w:r>
          </w:p>
        </w:tc>
        <w:tc>
          <w:tcPr>
            <w:tcW w:w="850" w:type="dxa"/>
            <w:shd w:val="clear" w:color="auto" w:fill="FFFFFF"/>
          </w:tcPr>
          <w:p w14:paraId="1EE7A955"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1134" w:type="dxa"/>
            <w:shd w:val="clear" w:color="auto" w:fill="FFFFFF"/>
          </w:tcPr>
          <w:p w14:paraId="3857D37C" w14:textId="77777777" w:rsidR="00794A36" w:rsidRPr="003A2B0A" w:rsidRDefault="00794A36" w:rsidP="007278FF">
            <w:pPr>
              <w:pStyle w:val="CETBodytext"/>
              <w:ind w:right="-1"/>
              <w:jc w:val="center"/>
              <w:rPr>
                <w:rFonts w:cs="Arial"/>
                <w:szCs w:val="18"/>
                <w:lang w:val="en-GB"/>
              </w:rPr>
            </w:pPr>
            <w:r w:rsidRPr="003A2B0A">
              <w:rPr>
                <w:rFonts w:cs="Arial"/>
                <w:szCs w:val="18"/>
                <w:lang w:val="en-GB"/>
              </w:rPr>
              <w:t>-</w:t>
            </w:r>
          </w:p>
        </w:tc>
        <w:tc>
          <w:tcPr>
            <w:tcW w:w="701" w:type="dxa"/>
            <w:shd w:val="clear" w:color="auto" w:fill="FFFFFF"/>
          </w:tcPr>
          <w:p w14:paraId="1C590FF8" w14:textId="77777777" w:rsidR="00794A36" w:rsidRPr="003A2B0A" w:rsidRDefault="00BC38EC" w:rsidP="007278FF">
            <w:pPr>
              <w:pStyle w:val="CETBodytext"/>
              <w:ind w:right="-1"/>
              <w:jc w:val="center"/>
              <w:rPr>
                <w:rFonts w:cs="Arial"/>
                <w:szCs w:val="18"/>
                <w:lang w:val="en-GB"/>
              </w:rPr>
            </w:pPr>
            <w:r>
              <w:rPr>
                <w:rFonts w:cs="Arial"/>
                <w:szCs w:val="18"/>
                <w:lang w:val="en-GB"/>
              </w:rPr>
              <w:t>53</w:t>
            </w:r>
          </w:p>
        </w:tc>
        <w:tc>
          <w:tcPr>
            <w:tcW w:w="701" w:type="dxa"/>
            <w:shd w:val="clear" w:color="auto" w:fill="FFFFFF"/>
          </w:tcPr>
          <w:p w14:paraId="1FC6615B" w14:textId="77777777" w:rsidR="00794A36" w:rsidRPr="003A2B0A" w:rsidRDefault="00BC38EC" w:rsidP="007278FF">
            <w:pPr>
              <w:pStyle w:val="CETBodytext"/>
              <w:ind w:right="-1"/>
              <w:jc w:val="center"/>
              <w:rPr>
                <w:rFonts w:cs="Arial"/>
                <w:szCs w:val="18"/>
                <w:lang w:val="en-GB"/>
              </w:rPr>
            </w:pPr>
            <w:r>
              <w:rPr>
                <w:rFonts w:cs="Arial"/>
                <w:szCs w:val="18"/>
                <w:lang w:val="en-GB"/>
              </w:rPr>
              <w:t>85</w:t>
            </w:r>
          </w:p>
        </w:tc>
      </w:tr>
      <w:tr w:rsidR="00794A36" w:rsidRPr="00B57B36" w14:paraId="2512D990" w14:textId="77777777" w:rsidTr="00C112C5">
        <w:trPr>
          <w:trHeight w:val="60"/>
        </w:trPr>
        <w:tc>
          <w:tcPr>
            <w:tcW w:w="851" w:type="dxa"/>
            <w:vMerge/>
            <w:shd w:val="clear" w:color="auto" w:fill="FFFFFF"/>
          </w:tcPr>
          <w:p w14:paraId="26904104" w14:textId="77777777" w:rsidR="00794A36" w:rsidRDefault="00794A36" w:rsidP="007278FF">
            <w:pPr>
              <w:pStyle w:val="CETBodytext"/>
              <w:rPr>
                <w:lang w:val="en-GB"/>
              </w:rPr>
            </w:pPr>
          </w:p>
        </w:tc>
        <w:tc>
          <w:tcPr>
            <w:tcW w:w="709" w:type="dxa"/>
            <w:shd w:val="clear" w:color="auto" w:fill="FFFFFF"/>
          </w:tcPr>
          <w:p w14:paraId="071B0BE0" w14:textId="6A0C1120" w:rsidR="00794A36" w:rsidRDefault="00794A36" w:rsidP="008817FF">
            <w:pPr>
              <w:pStyle w:val="CETBodytext"/>
              <w:jc w:val="left"/>
              <w:rPr>
                <w:lang w:val="en-GB"/>
              </w:rPr>
            </w:pPr>
            <w:r>
              <w:rPr>
                <w:lang w:val="en-GB"/>
              </w:rPr>
              <w:t>IH-</w:t>
            </w:r>
            <w:r w:rsidR="00A771F1">
              <w:rPr>
                <w:lang w:val="en-GB"/>
              </w:rPr>
              <w:t>53</w:t>
            </w:r>
          </w:p>
        </w:tc>
        <w:tc>
          <w:tcPr>
            <w:tcW w:w="858" w:type="dxa"/>
            <w:shd w:val="clear" w:color="auto" w:fill="FFFFFF"/>
          </w:tcPr>
          <w:p w14:paraId="33A3468D" w14:textId="77777777" w:rsidR="00794A36" w:rsidRPr="00B57B36" w:rsidRDefault="00794A36" w:rsidP="007278FF">
            <w:pPr>
              <w:pStyle w:val="CETBodytext"/>
              <w:jc w:val="center"/>
              <w:rPr>
                <w:lang w:val="en-GB"/>
              </w:rPr>
            </w:pPr>
            <w:r>
              <w:rPr>
                <w:lang w:val="en-GB"/>
              </w:rPr>
              <w:t>76</w:t>
            </w:r>
          </w:p>
        </w:tc>
        <w:tc>
          <w:tcPr>
            <w:tcW w:w="1134" w:type="dxa"/>
            <w:shd w:val="clear" w:color="auto" w:fill="FFFFFF"/>
          </w:tcPr>
          <w:p w14:paraId="19D64F37" w14:textId="77777777" w:rsidR="00794A36" w:rsidRPr="00B57B36" w:rsidRDefault="00794A36" w:rsidP="007278FF">
            <w:pPr>
              <w:pStyle w:val="CETBodytext"/>
              <w:ind w:right="-1"/>
              <w:jc w:val="center"/>
              <w:rPr>
                <w:rFonts w:cs="Arial"/>
                <w:szCs w:val="18"/>
                <w:lang w:val="en-GB"/>
              </w:rPr>
            </w:pPr>
            <w:r>
              <w:rPr>
                <w:lang w:val="en-GB"/>
              </w:rPr>
              <w:t>55</w:t>
            </w:r>
          </w:p>
        </w:tc>
        <w:tc>
          <w:tcPr>
            <w:tcW w:w="850" w:type="dxa"/>
            <w:shd w:val="clear" w:color="auto" w:fill="FFFFFF"/>
          </w:tcPr>
          <w:p w14:paraId="4DA9A91A" w14:textId="3A32842F" w:rsidR="00794A36" w:rsidRPr="003A2B0A" w:rsidRDefault="00794A36" w:rsidP="007278FF">
            <w:pPr>
              <w:pStyle w:val="CETBodytext"/>
              <w:ind w:right="-1"/>
              <w:jc w:val="center"/>
              <w:rPr>
                <w:rFonts w:cs="Arial"/>
                <w:szCs w:val="18"/>
                <w:lang w:val="en-GB"/>
              </w:rPr>
            </w:pPr>
            <w:r w:rsidRPr="003A2B0A">
              <w:rPr>
                <w:rFonts w:cs="Arial"/>
                <w:szCs w:val="18"/>
                <w:lang w:val="en-GB"/>
              </w:rPr>
              <w:t>5</w:t>
            </w:r>
            <w:r w:rsidR="00C23A7E">
              <w:rPr>
                <w:rFonts w:cs="Arial"/>
                <w:szCs w:val="18"/>
                <w:lang w:val="en-GB"/>
              </w:rPr>
              <w:t>.</w:t>
            </w:r>
            <w:r w:rsidRPr="003A2B0A">
              <w:rPr>
                <w:rFonts w:cs="Arial"/>
                <w:szCs w:val="18"/>
                <w:lang w:val="en-GB"/>
              </w:rPr>
              <w:t>3</w:t>
            </w:r>
          </w:p>
        </w:tc>
        <w:tc>
          <w:tcPr>
            <w:tcW w:w="1134" w:type="dxa"/>
            <w:shd w:val="clear" w:color="auto" w:fill="FFFFFF"/>
          </w:tcPr>
          <w:p w14:paraId="00C92629" w14:textId="57DFB5A5" w:rsidR="00794A36" w:rsidRPr="003A2B0A" w:rsidRDefault="00794A36" w:rsidP="007278FF">
            <w:pPr>
              <w:pStyle w:val="CETBodytext"/>
              <w:ind w:right="-1"/>
              <w:jc w:val="center"/>
              <w:rPr>
                <w:rFonts w:cs="Arial"/>
                <w:szCs w:val="18"/>
                <w:lang w:val="en-GB"/>
              </w:rPr>
            </w:pPr>
            <w:r w:rsidRPr="003A2B0A">
              <w:rPr>
                <w:rFonts w:cs="Arial"/>
                <w:szCs w:val="18"/>
                <w:lang w:val="en-GB"/>
              </w:rPr>
              <w:t>4</w:t>
            </w:r>
            <w:r w:rsidR="00C23A7E">
              <w:rPr>
                <w:rFonts w:cs="Arial"/>
                <w:szCs w:val="18"/>
                <w:lang w:val="en-GB"/>
              </w:rPr>
              <w:t>.</w:t>
            </w:r>
            <w:r w:rsidRPr="003A2B0A">
              <w:rPr>
                <w:rFonts w:cs="Arial"/>
                <w:szCs w:val="18"/>
                <w:lang w:val="en-GB"/>
              </w:rPr>
              <w:t>0</w:t>
            </w:r>
          </w:p>
        </w:tc>
        <w:tc>
          <w:tcPr>
            <w:tcW w:w="701" w:type="dxa"/>
            <w:shd w:val="clear" w:color="auto" w:fill="FFFFFF"/>
          </w:tcPr>
          <w:p w14:paraId="3FC9B2F5" w14:textId="77777777" w:rsidR="00794A36" w:rsidRPr="003A2B0A" w:rsidRDefault="00BC38EC" w:rsidP="007278FF">
            <w:pPr>
              <w:pStyle w:val="CETBodytext"/>
              <w:ind w:right="-1"/>
              <w:jc w:val="center"/>
              <w:rPr>
                <w:rFonts w:cs="Arial"/>
                <w:szCs w:val="18"/>
                <w:lang w:val="en-GB"/>
              </w:rPr>
            </w:pPr>
            <w:r>
              <w:rPr>
                <w:rFonts w:cs="Arial"/>
                <w:szCs w:val="18"/>
                <w:lang w:val="en-GB"/>
              </w:rPr>
              <w:t>69</w:t>
            </w:r>
          </w:p>
        </w:tc>
        <w:tc>
          <w:tcPr>
            <w:tcW w:w="701" w:type="dxa"/>
            <w:shd w:val="clear" w:color="auto" w:fill="FFFFFF"/>
          </w:tcPr>
          <w:p w14:paraId="37E34675" w14:textId="77777777" w:rsidR="00794A36" w:rsidRPr="003A2B0A" w:rsidRDefault="00BC38EC" w:rsidP="007278FF">
            <w:pPr>
              <w:pStyle w:val="CETBodytext"/>
              <w:ind w:right="-1"/>
              <w:jc w:val="center"/>
              <w:rPr>
                <w:rFonts w:cs="Arial"/>
                <w:szCs w:val="18"/>
                <w:lang w:val="en-GB"/>
              </w:rPr>
            </w:pPr>
            <w:r>
              <w:rPr>
                <w:rFonts w:cs="Arial"/>
                <w:szCs w:val="18"/>
                <w:lang w:val="en-GB"/>
              </w:rPr>
              <w:t>95</w:t>
            </w:r>
          </w:p>
        </w:tc>
      </w:tr>
    </w:tbl>
    <w:p w14:paraId="5F3121BB" w14:textId="77777777" w:rsidR="003A2B0A" w:rsidRPr="0075053E" w:rsidRDefault="003A2B0A" w:rsidP="00455A20">
      <w:pPr>
        <w:pStyle w:val="CETBodytext"/>
        <w:rPr>
          <w:lang w:val="en-GB"/>
        </w:rPr>
      </w:pPr>
    </w:p>
    <w:p w14:paraId="7AE7FA84" w14:textId="0D078182" w:rsidR="00B8044D" w:rsidRPr="00B8044D" w:rsidRDefault="000A1EF3" w:rsidP="008817FF">
      <w:pPr>
        <w:pStyle w:val="CETBodytext"/>
      </w:pPr>
      <w:r w:rsidRPr="000A1EF3">
        <w:rPr>
          <w:lang w:val="en-GB"/>
        </w:rPr>
        <w:t>When looking at the values in Table 2</w:t>
      </w:r>
      <w:r w:rsidR="00B86C09">
        <w:rPr>
          <w:lang w:val="en-GB"/>
        </w:rPr>
        <w:t>,</w:t>
      </w:r>
      <w:r w:rsidRPr="000A1EF3">
        <w:rPr>
          <w:lang w:val="en-GB"/>
        </w:rPr>
        <w:t xml:space="preserve"> </w:t>
      </w:r>
      <w:proofErr w:type="gramStart"/>
      <w:r w:rsidRPr="000A1EF3">
        <w:rPr>
          <w:lang w:val="en-GB"/>
        </w:rPr>
        <w:t>it can be seen that the</w:t>
      </w:r>
      <w:proofErr w:type="gramEnd"/>
      <w:r w:rsidRPr="000A1EF3">
        <w:rPr>
          <w:lang w:val="en-GB"/>
        </w:rPr>
        <w:t xml:space="preserve"> heat treatment processes chosen d</w:t>
      </w:r>
      <w:r w:rsidR="000737A9">
        <w:rPr>
          <w:lang w:val="en-GB"/>
        </w:rPr>
        <w:t>id</w:t>
      </w:r>
      <w:r w:rsidRPr="000A1EF3">
        <w:rPr>
          <w:lang w:val="en-GB"/>
        </w:rPr>
        <w:t xml:space="preserve"> not allow reaching high values of surface area. However, when we compare them with the value obtained with the original precursor (IH)</w:t>
      </w:r>
      <w:r w:rsidR="00B86C09">
        <w:rPr>
          <w:lang w:val="en-GB"/>
        </w:rPr>
        <w:t>,</w:t>
      </w:r>
      <w:r w:rsidRPr="000A1EF3">
        <w:rPr>
          <w:lang w:val="en-GB"/>
        </w:rPr>
        <w:t xml:space="preserve"> whose value is 3</w:t>
      </w:r>
      <w:r w:rsidR="000737A9">
        <w:rPr>
          <w:lang w:val="en-GB"/>
        </w:rPr>
        <w:t>.</w:t>
      </w:r>
      <w:r w:rsidRPr="000A1EF3">
        <w:rPr>
          <w:lang w:val="en-GB"/>
        </w:rPr>
        <w:t xml:space="preserve">0 </w:t>
      </w:r>
      <w:r w:rsidR="007B04D7" w:rsidRPr="007B04D7">
        <w:rPr>
          <w:lang w:val="en-GB"/>
        </w:rPr>
        <w:t xml:space="preserve">± </w:t>
      </w:r>
      <w:r w:rsidR="007B04D7">
        <w:rPr>
          <w:lang w:val="en-GB"/>
        </w:rPr>
        <w:t xml:space="preserve">0.1 </w:t>
      </w:r>
      <w:r w:rsidRPr="000A1EF3">
        <w:rPr>
          <w:lang w:val="en-GB"/>
        </w:rPr>
        <w:t>m</w:t>
      </w:r>
      <w:r w:rsidRPr="00B86C09">
        <w:rPr>
          <w:vertAlign w:val="superscript"/>
          <w:lang w:val="en-GB"/>
        </w:rPr>
        <w:t>2</w:t>
      </w:r>
      <w:r w:rsidR="000737A9">
        <w:rPr>
          <w:vertAlign w:val="superscript"/>
          <w:lang w:val="en-GB"/>
        </w:rPr>
        <w:t xml:space="preserve"> </w:t>
      </w:r>
      <w:r w:rsidRPr="000A1EF3">
        <w:rPr>
          <w:lang w:val="en-GB"/>
        </w:rPr>
        <w:t>g</w:t>
      </w:r>
      <w:r w:rsidRPr="00B86C09">
        <w:rPr>
          <w:vertAlign w:val="superscript"/>
          <w:lang w:val="en-GB"/>
        </w:rPr>
        <w:t>-1</w:t>
      </w:r>
      <w:r w:rsidRPr="000A1EF3">
        <w:rPr>
          <w:lang w:val="en-GB"/>
        </w:rPr>
        <w:t>, a</w:t>
      </w:r>
      <w:r w:rsidR="000737A9">
        <w:rPr>
          <w:lang w:val="en-GB"/>
        </w:rPr>
        <w:t>n</w:t>
      </w:r>
      <w:r w:rsidRPr="000A1EF3">
        <w:rPr>
          <w:lang w:val="en-GB"/>
        </w:rPr>
        <w:t xml:space="preserve"> increase of </w:t>
      </w:r>
      <w:r w:rsidR="00452752">
        <w:rPr>
          <w:lang w:val="en-GB"/>
        </w:rPr>
        <w:t>77</w:t>
      </w:r>
      <w:r w:rsidR="00174C80">
        <w:rPr>
          <w:lang w:val="en-GB"/>
        </w:rPr>
        <w:t xml:space="preserve"> </w:t>
      </w:r>
      <w:r w:rsidRPr="000A1EF3">
        <w:rPr>
          <w:lang w:val="en-GB"/>
        </w:rPr>
        <w:t xml:space="preserve">% is observed </w:t>
      </w:r>
      <w:r w:rsidRPr="00F366B9">
        <w:rPr>
          <w:highlight w:val="yellow"/>
          <w:lang w:val="en-GB"/>
        </w:rPr>
        <w:t>(IH-</w:t>
      </w:r>
      <w:r w:rsidR="00312B5C" w:rsidRPr="00F366B9">
        <w:rPr>
          <w:highlight w:val="yellow"/>
          <w:lang w:val="en-GB"/>
        </w:rPr>
        <w:t>53</w:t>
      </w:r>
      <w:r w:rsidRPr="00F366B9">
        <w:rPr>
          <w:highlight w:val="yellow"/>
          <w:lang w:val="en-GB"/>
        </w:rPr>
        <w:t>-300/N</w:t>
      </w:r>
      <w:r w:rsidRPr="00F366B9">
        <w:rPr>
          <w:highlight w:val="yellow"/>
          <w:vertAlign w:val="subscript"/>
          <w:lang w:val="en-GB"/>
        </w:rPr>
        <w:t>2</w:t>
      </w:r>
      <w:r w:rsidR="00983E73" w:rsidRPr="00F366B9">
        <w:rPr>
          <w:rFonts w:cs="Arial"/>
          <w:highlight w:val="yellow"/>
          <w:lang w:val="en-GB"/>
        </w:rPr>
        <w:t>→</w:t>
      </w:r>
      <w:r w:rsidRPr="00F366B9">
        <w:rPr>
          <w:highlight w:val="yellow"/>
          <w:lang w:val="en-GB"/>
        </w:rPr>
        <w:t>CO</w:t>
      </w:r>
      <w:r w:rsidRPr="00F366B9">
        <w:rPr>
          <w:highlight w:val="yellow"/>
          <w:vertAlign w:val="subscript"/>
          <w:lang w:val="en-GB"/>
        </w:rPr>
        <w:t>2</w:t>
      </w:r>
      <w:r w:rsidRPr="00F366B9">
        <w:rPr>
          <w:highlight w:val="yellow"/>
          <w:lang w:val="en-GB"/>
        </w:rPr>
        <w:t>).</w:t>
      </w:r>
      <w:r w:rsidR="00B86C09">
        <w:rPr>
          <w:lang w:val="en-GB"/>
        </w:rPr>
        <w:t xml:space="preserve"> </w:t>
      </w:r>
      <w:r w:rsidR="0040334E" w:rsidRPr="0040334E">
        <w:rPr>
          <w:lang w:val="en-GB"/>
        </w:rPr>
        <w:t xml:space="preserve">Furthermore, </w:t>
      </w:r>
      <w:r w:rsidR="0040334E">
        <w:rPr>
          <w:lang w:val="en-GB"/>
        </w:rPr>
        <w:t>th</w:t>
      </w:r>
      <w:r w:rsidR="00B86C09">
        <w:rPr>
          <w:lang w:val="en-GB"/>
        </w:rPr>
        <w:t>ese results</w:t>
      </w:r>
      <w:r w:rsidR="0040334E">
        <w:rPr>
          <w:lang w:val="en-GB"/>
        </w:rPr>
        <w:t xml:space="preserve"> </w:t>
      </w:r>
      <w:r w:rsidR="00B86C09">
        <w:rPr>
          <w:lang w:val="en-GB"/>
        </w:rPr>
        <w:t xml:space="preserve">indicate </w:t>
      </w:r>
      <w:r w:rsidR="0040334E" w:rsidRPr="0040334E">
        <w:rPr>
          <w:lang w:val="en-GB"/>
        </w:rPr>
        <w:t>that th</w:t>
      </w:r>
      <w:r w:rsidR="0040334E">
        <w:rPr>
          <w:lang w:val="en-GB"/>
        </w:rPr>
        <w:t>is type</w:t>
      </w:r>
      <w:r w:rsidR="0040334E" w:rsidRPr="0040334E">
        <w:rPr>
          <w:lang w:val="en-GB"/>
        </w:rPr>
        <w:t xml:space="preserve"> </w:t>
      </w:r>
      <w:r w:rsidR="00E01EA4">
        <w:rPr>
          <w:lang w:val="en-GB"/>
        </w:rPr>
        <w:t xml:space="preserve">of </w:t>
      </w:r>
      <w:r w:rsidR="0040334E" w:rsidRPr="0040334E">
        <w:rPr>
          <w:lang w:val="en-GB"/>
        </w:rPr>
        <w:t xml:space="preserve">agglomeration process, followed </w:t>
      </w:r>
      <w:r w:rsidR="002429C7">
        <w:rPr>
          <w:lang w:val="en-GB"/>
        </w:rPr>
        <w:t xml:space="preserve">by </w:t>
      </w:r>
      <w:r w:rsidR="0040334E" w:rsidRPr="0040334E">
        <w:rPr>
          <w:lang w:val="en-GB"/>
        </w:rPr>
        <w:t xml:space="preserve">activation, does not </w:t>
      </w:r>
      <w:r w:rsidR="00EF633C">
        <w:rPr>
          <w:lang w:val="en-GB"/>
        </w:rPr>
        <w:t>reduce</w:t>
      </w:r>
      <w:r w:rsidR="0040334E" w:rsidRPr="0040334E">
        <w:rPr>
          <w:lang w:val="en-GB"/>
        </w:rPr>
        <w:t xml:space="preserve"> this structural characteristic</w:t>
      </w:r>
      <w:r w:rsidR="00EF633C">
        <w:rPr>
          <w:lang w:val="en-GB"/>
        </w:rPr>
        <w:t>. T</w:t>
      </w:r>
      <w:r w:rsidR="00E01EA4" w:rsidRPr="00E01EA4">
        <w:rPr>
          <w:lang w:val="en-GB"/>
        </w:rPr>
        <w:t>here is no blocking but rather a</w:t>
      </w:r>
      <w:r w:rsidR="002429C7">
        <w:rPr>
          <w:lang w:val="en-GB"/>
        </w:rPr>
        <w:t xml:space="preserve">n increase </w:t>
      </w:r>
      <w:r w:rsidR="00E01EA4" w:rsidRPr="00E01EA4">
        <w:rPr>
          <w:lang w:val="en-GB"/>
        </w:rPr>
        <w:t xml:space="preserve">of the </w:t>
      </w:r>
      <w:r w:rsidR="001A5187">
        <w:rPr>
          <w:lang w:val="en-GB"/>
        </w:rPr>
        <w:t xml:space="preserve">adsorbent </w:t>
      </w:r>
      <w:r w:rsidR="00E01EA4" w:rsidRPr="00E01EA4">
        <w:rPr>
          <w:lang w:val="en-GB"/>
        </w:rPr>
        <w:t>surface area.</w:t>
      </w:r>
      <w:r w:rsidR="00AA1E58">
        <w:rPr>
          <w:lang w:val="en-GB"/>
        </w:rPr>
        <w:t xml:space="preserve"> CO</w:t>
      </w:r>
      <w:r w:rsidR="00AA1E58">
        <w:rPr>
          <w:vertAlign w:val="subscript"/>
          <w:lang w:val="en-GB"/>
        </w:rPr>
        <w:t>2</w:t>
      </w:r>
      <w:r w:rsidR="00AA1E58">
        <w:rPr>
          <w:lang w:val="en-GB"/>
        </w:rPr>
        <w:t xml:space="preserve"> supply did not show </w:t>
      </w:r>
      <w:r w:rsidR="00EF633C">
        <w:rPr>
          <w:lang w:val="en-GB"/>
        </w:rPr>
        <w:t xml:space="preserve">a </w:t>
      </w:r>
      <w:r w:rsidR="00AA1E58">
        <w:rPr>
          <w:lang w:val="en-GB"/>
        </w:rPr>
        <w:t xml:space="preserve">remarkable positive effect during </w:t>
      </w:r>
      <w:r w:rsidR="00EF633C">
        <w:rPr>
          <w:lang w:val="en-GB"/>
        </w:rPr>
        <w:t xml:space="preserve">the </w:t>
      </w:r>
      <w:r w:rsidR="00AA1E58">
        <w:rPr>
          <w:lang w:val="en-GB"/>
        </w:rPr>
        <w:t>activation phase.</w:t>
      </w:r>
      <w:r w:rsidR="00114F17">
        <w:rPr>
          <w:lang w:val="en-GB"/>
        </w:rPr>
        <w:t xml:space="preserve"> The </w:t>
      </w:r>
      <w:r w:rsidR="004735F6">
        <w:rPr>
          <w:lang w:val="en-GB"/>
        </w:rPr>
        <w:t xml:space="preserve">% </w:t>
      </w:r>
      <w:r w:rsidR="00114F17">
        <w:rPr>
          <w:lang w:val="en-GB"/>
        </w:rPr>
        <w:t>activation</w:t>
      </w:r>
      <w:r w:rsidR="002429C7">
        <w:rPr>
          <w:lang w:val="en-GB"/>
        </w:rPr>
        <w:t xml:space="preserve"> </w:t>
      </w:r>
      <w:r w:rsidR="00EF633C">
        <w:rPr>
          <w:lang w:val="en-GB"/>
        </w:rPr>
        <w:t xml:space="preserve">yield </w:t>
      </w:r>
      <w:r w:rsidR="002429C7">
        <w:rPr>
          <w:lang w:val="en-GB"/>
        </w:rPr>
        <w:t xml:space="preserve">(final mass </w:t>
      </w:r>
      <w:r w:rsidR="002429C7">
        <w:rPr>
          <w:rFonts w:cs="Arial"/>
          <w:lang w:val="en-GB"/>
        </w:rPr>
        <w:t>∙</w:t>
      </w:r>
      <w:r w:rsidR="002429C7">
        <w:rPr>
          <w:lang w:val="en-GB"/>
        </w:rPr>
        <w:t xml:space="preserve"> initial </w:t>
      </w:r>
      <w:proofErr w:type="gramStart"/>
      <w:r w:rsidR="002429C7">
        <w:rPr>
          <w:lang w:val="en-GB"/>
        </w:rPr>
        <w:t>mass</w:t>
      </w:r>
      <w:r w:rsidR="002429C7">
        <w:rPr>
          <w:vertAlign w:val="superscript"/>
          <w:lang w:val="en-GB"/>
        </w:rPr>
        <w:t>-1</w:t>
      </w:r>
      <w:proofErr w:type="gramEnd"/>
      <w:r w:rsidR="002429C7">
        <w:rPr>
          <w:lang w:val="en-GB"/>
        </w:rPr>
        <w:t>)</w:t>
      </w:r>
      <w:r w:rsidR="002429C7">
        <w:rPr>
          <w:vertAlign w:val="superscript"/>
          <w:lang w:val="en-GB"/>
        </w:rPr>
        <w:t xml:space="preserve"> </w:t>
      </w:r>
      <w:r w:rsidR="00CC4F80" w:rsidRPr="00C112C5">
        <w:rPr>
          <w:lang w:val="en-GB"/>
        </w:rPr>
        <w:t>was</w:t>
      </w:r>
      <w:r w:rsidR="002429C7">
        <w:rPr>
          <w:vertAlign w:val="superscript"/>
          <w:lang w:val="en-GB"/>
        </w:rPr>
        <w:t xml:space="preserve"> </w:t>
      </w:r>
      <w:r w:rsidR="00114F17">
        <w:rPr>
          <w:lang w:val="en-GB"/>
        </w:rPr>
        <w:t>remarkably lower at 500 °C than at 300 °C, for the higher volatilization of organic compounds.</w:t>
      </w:r>
    </w:p>
    <w:p w14:paraId="30829643" w14:textId="77777777" w:rsidR="00453E24" w:rsidRPr="00737B26" w:rsidRDefault="00B8044D" w:rsidP="00C112C5">
      <w:pPr>
        <w:pStyle w:val="CETheadingx"/>
      </w:pPr>
      <w:r w:rsidRPr="00B8044D">
        <w:t>Arsenic adsorption</w:t>
      </w:r>
      <w:bookmarkEnd w:id="8"/>
    </w:p>
    <w:p w14:paraId="1CCB4901" w14:textId="533ACC53" w:rsidR="004A4F19" w:rsidRDefault="00C42D51" w:rsidP="008817FF">
      <w:pPr>
        <w:pStyle w:val="CETBodytext"/>
      </w:pPr>
      <w:r>
        <w:t xml:space="preserve">All the different adsorbents produced (Table 2) </w:t>
      </w:r>
      <w:r w:rsidR="002429C7">
        <w:t>were</w:t>
      </w:r>
      <w:r>
        <w:t xml:space="preserve"> characterized for their </w:t>
      </w:r>
      <w:proofErr w:type="gramStart"/>
      <w:r>
        <w:t>As</w:t>
      </w:r>
      <w:proofErr w:type="gramEnd"/>
      <w:r>
        <w:t xml:space="preserve"> adsorption capacity</w:t>
      </w:r>
      <w:r w:rsidR="00F232A9">
        <w:t xml:space="preserve"> (</w:t>
      </w:r>
      <w:proofErr w:type="spellStart"/>
      <w:r w:rsidR="00F232A9">
        <w:t>q</w:t>
      </w:r>
      <w:r w:rsidR="00F232A9" w:rsidRPr="008817FF">
        <w:rPr>
          <w:vertAlign w:val="subscript"/>
        </w:rPr>
        <w:t>As</w:t>
      </w:r>
      <w:proofErr w:type="spellEnd"/>
      <w:r w:rsidR="00F232A9">
        <w:t>)</w:t>
      </w:r>
      <w:r w:rsidR="00580074">
        <w:t xml:space="preserve">, shown in </w:t>
      </w:r>
      <w:r>
        <w:t>Figure 1</w:t>
      </w:r>
      <w:r w:rsidR="008449BC">
        <w:t>a</w:t>
      </w:r>
      <w:r>
        <w:t xml:space="preserve">. </w:t>
      </w:r>
      <w:r w:rsidR="00727287" w:rsidRPr="00F366B9">
        <w:rPr>
          <w:highlight w:val="yellow"/>
        </w:rPr>
        <w:t>To evaluate the impact of the various experimental parameters</w:t>
      </w:r>
      <w:r w:rsidR="002A6C1A" w:rsidRPr="00F366B9">
        <w:rPr>
          <w:highlight w:val="yellow"/>
        </w:rPr>
        <w:t>,</w:t>
      </w:r>
      <w:r w:rsidR="00727287" w:rsidRPr="00F366B9">
        <w:rPr>
          <w:highlight w:val="yellow"/>
        </w:rPr>
        <w:t xml:space="preserve"> </w:t>
      </w:r>
      <w:r w:rsidR="001F6A08" w:rsidRPr="00F366B9">
        <w:rPr>
          <w:highlight w:val="yellow"/>
        </w:rPr>
        <w:t>an analysis of variance (2</w:t>
      </w:r>
      <w:r w:rsidR="001F6A08" w:rsidRPr="00F366B9">
        <w:rPr>
          <w:highlight w:val="yellow"/>
          <w:vertAlign w:val="superscript"/>
        </w:rPr>
        <w:t>3</w:t>
      </w:r>
      <w:r w:rsidR="001F6A08" w:rsidRPr="00F366B9">
        <w:rPr>
          <w:highlight w:val="yellow"/>
        </w:rPr>
        <w:t>) was performed by using the Yates’ algorithm for the factors</w:t>
      </w:r>
      <w:r w:rsidR="00956AE5" w:rsidRPr="00F366B9">
        <w:rPr>
          <w:highlight w:val="yellow"/>
        </w:rPr>
        <w:t>:</w:t>
      </w:r>
      <w:r w:rsidR="001F6A08">
        <w:t xml:space="preserve"> T (300, 500 °C), SS% (</w:t>
      </w:r>
      <w:r w:rsidR="00CD3E27">
        <w:t>16</w:t>
      </w:r>
      <w:r w:rsidR="001F6A08">
        <w:t xml:space="preserve">, </w:t>
      </w:r>
      <w:r w:rsidR="00CD3E27">
        <w:t>53</w:t>
      </w:r>
      <w:r w:rsidR="00174C80">
        <w:t xml:space="preserve"> </w:t>
      </w:r>
      <w:r w:rsidR="001F6A08">
        <w:t>%) and atmosphere gas (N</w:t>
      </w:r>
      <w:r w:rsidR="001F6A08" w:rsidRPr="008817FF">
        <w:rPr>
          <w:vertAlign w:val="subscript"/>
        </w:rPr>
        <w:t>2</w:t>
      </w:r>
      <w:r w:rsidR="001F6A08">
        <w:t xml:space="preserve"> and N</w:t>
      </w:r>
      <w:r w:rsidR="001F6A08" w:rsidRPr="008817FF">
        <w:rPr>
          <w:vertAlign w:val="subscript"/>
        </w:rPr>
        <w:t>2</w:t>
      </w:r>
      <w:r w:rsidR="00983E73">
        <w:rPr>
          <w:rFonts w:cs="Arial"/>
        </w:rPr>
        <w:t>→</w:t>
      </w:r>
      <w:r w:rsidR="001F6A08">
        <w:t>CO</w:t>
      </w:r>
      <w:r w:rsidR="001F6A08" w:rsidRPr="008817FF">
        <w:rPr>
          <w:vertAlign w:val="subscript"/>
        </w:rPr>
        <w:t>2</w:t>
      </w:r>
      <w:r w:rsidR="001F6A08">
        <w:t xml:space="preserve">). </w:t>
      </w:r>
      <w:r w:rsidR="00E51506">
        <w:t xml:space="preserve">Considering a significant level </w:t>
      </w:r>
      <w:r w:rsidR="00E51506">
        <w:rPr>
          <w:rFonts w:cs="Arial"/>
        </w:rPr>
        <w:t>α</w:t>
      </w:r>
      <w:r w:rsidR="00F15E0F">
        <w:t xml:space="preserve"> =</w:t>
      </w:r>
      <w:r w:rsidR="00E51506">
        <w:t xml:space="preserve"> 0.01, no one of the examined parameters gave a</w:t>
      </w:r>
      <w:r w:rsidR="00F232A9">
        <w:t xml:space="preserve"> significant variation of </w:t>
      </w:r>
      <w:proofErr w:type="spellStart"/>
      <w:r w:rsidR="00F232A9">
        <w:t>q</w:t>
      </w:r>
      <w:r w:rsidR="00F232A9" w:rsidRPr="008817FF">
        <w:rPr>
          <w:vertAlign w:val="subscript"/>
        </w:rPr>
        <w:t>As</w:t>
      </w:r>
      <w:proofErr w:type="spellEnd"/>
      <w:r w:rsidR="00E51506">
        <w:t xml:space="preserve">. </w:t>
      </w:r>
      <w:r w:rsidR="00D01B55">
        <w:t>Therefore,</w:t>
      </w:r>
      <w:r w:rsidR="00F15E0F">
        <w:t xml:space="preserve"> i</w:t>
      </w:r>
      <w:r w:rsidR="00E51506">
        <w:t>t can be considered that all sample</w:t>
      </w:r>
      <w:r w:rsidR="00F232A9">
        <w:t>s</w:t>
      </w:r>
      <w:r w:rsidR="00E51506">
        <w:t xml:space="preserve"> showed comparable</w:t>
      </w:r>
      <w:r w:rsidR="00F232A9">
        <w:t xml:space="preserve"> </w:t>
      </w:r>
      <w:proofErr w:type="spellStart"/>
      <w:r w:rsidR="00F232A9">
        <w:t>q</w:t>
      </w:r>
      <w:r w:rsidR="00F232A9" w:rsidRPr="008817FF">
        <w:rPr>
          <w:vertAlign w:val="subscript"/>
        </w:rPr>
        <w:t>As</w:t>
      </w:r>
      <w:proofErr w:type="spellEnd"/>
      <w:r w:rsidR="00E51506">
        <w:t xml:space="preserve">, </w:t>
      </w:r>
      <w:r w:rsidR="00F232A9">
        <w:t xml:space="preserve">which is </w:t>
      </w:r>
      <w:r w:rsidR="00E51506">
        <w:t xml:space="preserve">summarized in Figure </w:t>
      </w:r>
      <w:r w:rsidR="0060139D">
        <w:t xml:space="preserve">1b, </w:t>
      </w:r>
      <w:r w:rsidR="00F232A9">
        <w:t>with</w:t>
      </w:r>
      <w:r w:rsidR="0060139D">
        <w:t xml:space="preserve"> an average value of 6.0 mg g</w:t>
      </w:r>
      <w:r w:rsidR="0060139D" w:rsidRPr="008817FF">
        <w:rPr>
          <w:vertAlign w:val="superscript"/>
        </w:rPr>
        <w:t>-1</w:t>
      </w:r>
      <w:r w:rsidR="0060139D">
        <w:t xml:space="preserve"> and minimum and maximum values of 2.7 and 12</w:t>
      </w:r>
      <w:r w:rsidR="008449BC">
        <w:t>.2</w:t>
      </w:r>
      <w:r w:rsidR="0060139D">
        <w:t xml:space="preserve"> mg g</w:t>
      </w:r>
      <w:r w:rsidR="0060139D" w:rsidRPr="008817FF">
        <w:rPr>
          <w:vertAlign w:val="superscript"/>
        </w:rPr>
        <w:t>-1</w:t>
      </w:r>
      <w:r w:rsidR="0060139D">
        <w:t xml:space="preserve">, respectively. </w:t>
      </w:r>
    </w:p>
    <w:p w14:paraId="3DBC7BD6" w14:textId="47A93C0B" w:rsidR="00F560EE" w:rsidRPr="004A4F19" w:rsidRDefault="008C7D27" w:rsidP="008817FF">
      <w:pPr>
        <w:pStyle w:val="CETBodytext"/>
      </w:pPr>
      <w:r>
        <w:rPr>
          <w:noProof/>
          <w:lang w:val="it-IT" w:eastAsia="it-IT"/>
        </w:rPr>
        <w:lastRenderedPageBreak/>
        <w:drawing>
          <wp:inline distT="0" distB="0" distL="0" distR="0" wp14:anchorId="57530A4A" wp14:editId="35B30543">
            <wp:extent cx="3482839" cy="15938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8054" cy="1619118"/>
                    </a:xfrm>
                    <a:prstGeom prst="rect">
                      <a:avLst/>
                    </a:prstGeom>
                    <a:noFill/>
                  </pic:spPr>
                </pic:pic>
              </a:graphicData>
            </a:graphic>
          </wp:inline>
        </w:drawing>
      </w:r>
    </w:p>
    <w:p w14:paraId="02E79DBB" w14:textId="77777777" w:rsidR="001D61C9" w:rsidRDefault="004A4F19" w:rsidP="004C6570">
      <w:pPr>
        <w:pStyle w:val="CETCaption"/>
      </w:pPr>
      <w:r w:rsidRPr="004C6570">
        <w:t xml:space="preserve">Figure 1. </w:t>
      </w:r>
      <w:r w:rsidR="008449BC">
        <w:t xml:space="preserve">a) </w:t>
      </w:r>
      <w:r w:rsidR="00FD216B">
        <w:t>As adsorption capacity (</w:t>
      </w:r>
      <w:proofErr w:type="spellStart"/>
      <w:r w:rsidR="00FD216B">
        <w:t>q</w:t>
      </w:r>
      <w:r w:rsidR="00FD216B" w:rsidRPr="008817FF">
        <w:rPr>
          <w:vertAlign w:val="subscript"/>
        </w:rPr>
        <w:t>As</w:t>
      </w:r>
      <w:proofErr w:type="spellEnd"/>
      <w:r w:rsidR="00FD216B">
        <w:t>) measured for the different granulation-activation conditions.</w:t>
      </w:r>
      <w:r w:rsidR="008449BC">
        <w:t xml:space="preserve"> b) distribution of </w:t>
      </w:r>
      <w:proofErr w:type="spellStart"/>
      <w:r w:rsidR="008449BC">
        <w:t>q</w:t>
      </w:r>
      <w:r w:rsidR="008449BC" w:rsidRPr="008817FF">
        <w:rPr>
          <w:vertAlign w:val="subscript"/>
        </w:rPr>
        <w:t>As</w:t>
      </w:r>
      <w:proofErr w:type="spellEnd"/>
      <w:r w:rsidR="008449BC">
        <w:t xml:space="preserve"> for all analysed samples.</w:t>
      </w:r>
    </w:p>
    <w:p w14:paraId="0A9AD25F" w14:textId="11BD6B77" w:rsidR="00B8044D" w:rsidRDefault="001D61C9" w:rsidP="008817FF">
      <w:pPr>
        <w:pStyle w:val="CETBodytext"/>
      </w:pPr>
      <w:r>
        <w:t xml:space="preserve">To assess the </w:t>
      </w:r>
      <w:r w:rsidR="00781445" w:rsidRPr="00F366B9">
        <w:rPr>
          <w:highlight w:val="yellow"/>
        </w:rPr>
        <w:t>acid-base reactivity</w:t>
      </w:r>
      <w:r>
        <w:t xml:space="preserve"> of the produced adsorbent, </w:t>
      </w:r>
      <w:r w:rsidR="00F15E0F">
        <w:t xml:space="preserve">the </w:t>
      </w:r>
      <w:r>
        <w:t xml:space="preserve">HCl required to stabilize the pH at 5.0 </w:t>
      </w:r>
      <w:r>
        <w:rPr>
          <w:rFonts w:cs="Arial"/>
        </w:rPr>
        <w:t>±</w:t>
      </w:r>
      <w:r>
        <w:t xml:space="preserve"> 0.2 during the adsorption tests was measured and reported in Figure 2. </w:t>
      </w:r>
      <w:r w:rsidR="00710D49">
        <w:t xml:space="preserve">In this case, analysis of variance indicated a </w:t>
      </w:r>
      <w:r w:rsidR="00A30809">
        <w:t xml:space="preserve">significant </w:t>
      </w:r>
      <w:r w:rsidR="00710D49">
        <w:t>positive effect (</w:t>
      </w:r>
      <w:r w:rsidR="00710D49">
        <w:rPr>
          <w:rFonts w:cs="Arial"/>
        </w:rPr>
        <w:t xml:space="preserve">α </w:t>
      </w:r>
      <w:r w:rsidR="00710D49">
        <w:t xml:space="preserve">= 0.01) for the factors Temperature and SS%. The amount of HCl required to neutralize the adsorbent increased </w:t>
      </w:r>
      <w:r w:rsidR="00360CF8">
        <w:t>(up to 9.6 mmol H</w:t>
      </w:r>
      <w:r w:rsidR="00360CF8" w:rsidRPr="008817FF">
        <w:rPr>
          <w:vertAlign w:val="superscript"/>
        </w:rPr>
        <w:t>+</w:t>
      </w:r>
      <w:r w:rsidR="00360CF8">
        <w:t xml:space="preserve"> g</w:t>
      </w:r>
      <w:r w:rsidR="00360CF8" w:rsidRPr="008817FF">
        <w:rPr>
          <w:vertAlign w:val="superscript"/>
        </w:rPr>
        <w:t>-1</w:t>
      </w:r>
      <w:r w:rsidR="00360CF8">
        <w:t xml:space="preserve">) </w:t>
      </w:r>
      <w:r w:rsidR="00710D49">
        <w:t>when the activation temperature was increased from 300 °C to 500 °C and when SS% was increased</w:t>
      </w:r>
      <w:r w:rsidR="00844B82">
        <w:t xml:space="preserve"> from </w:t>
      </w:r>
      <w:r w:rsidR="007B04D7">
        <w:t>16</w:t>
      </w:r>
      <w:r w:rsidR="00174C80">
        <w:t xml:space="preserve"> </w:t>
      </w:r>
      <w:r w:rsidR="00844B82">
        <w:t xml:space="preserve">% to </w:t>
      </w:r>
      <w:r w:rsidR="007B04D7">
        <w:t>53</w:t>
      </w:r>
      <w:r w:rsidR="00174C80">
        <w:t xml:space="preserve"> </w:t>
      </w:r>
      <w:r w:rsidR="00844B82">
        <w:t>%</w:t>
      </w:r>
      <w:r w:rsidR="00F15E0F">
        <w:t>, indicating the formation of a more alkaline material</w:t>
      </w:r>
      <w:r w:rsidR="00844B82">
        <w:t xml:space="preserve">. </w:t>
      </w:r>
    </w:p>
    <w:p w14:paraId="70854C45" w14:textId="3395DB48" w:rsidR="001D61C9" w:rsidRDefault="008C7D27" w:rsidP="004C6570">
      <w:pPr>
        <w:pStyle w:val="CETCaption"/>
      </w:pPr>
      <w:r>
        <w:rPr>
          <w:noProof/>
          <w:lang w:val="it-IT" w:eastAsia="it-IT"/>
        </w:rPr>
        <w:drawing>
          <wp:inline distT="0" distB="0" distL="0" distR="0" wp14:anchorId="04F7502F" wp14:editId="241868ED">
            <wp:extent cx="3448050" cy="147462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3508" cy="1494062"/>
                    </a:xfrm>
                    <a:prstGeom prst="rect">
                      <a:avLst/>
                    </a:prstGeom>
                    <a:noFill/>
                  </pic:spPr>
                </pic:pic>
              </a:graphicData>
            </a:graphic>
          </wp:inline>
        </w:drawing>
      </w:r>
    </w:p>
    <w:p w14:paraId="44CBE805" w14:textId="77777777" w:rsidR="001D61C9" w:rsidRPr="004C6570" w:rsidRDefault="001D61C9" w:rsidP="008817FF">
      <w:pPr>
        <w:pStyle w:val="CETCaption"/>
      </w:pPr>
      <w:r w:rsidRPr="004C6570">
        <w:t xml:space="preserve">Figure </w:t>
      </w:r>
      <w:r>
        <w:t>2</w:t>
      </w:r>
      <w:r w:rsidRPr="004C6570">
        <w:t xml:space="preserve">. </w:t>
      </w:r>
      <w:r>
        <w:t xml:space="preserve">HCl consumed to stabilize the pH at 5.0 </w:t>
      </w:r>
      <w:r>
        <w:rPr>
          <w:rFonts w:cs="Arial"/>
        </w:rPr>
        <w:t>±</w:t>
      </w:r>
      <w:r>
        <w:t xml:space="preserve"> 0.2 during the </w:t>
      </w:r>
      <w:proofErr w:type="gramStart"/>
      <w:r>
        <w:t>As</w:t>
      </w:r>
      <w:proofErr w:type="gramEnd"/>
      <w:r>
        <w:t xml:space="preserve"> adsorption tests.</w:t>
      </w:r>
    </w:p>
    <w:p w14:paraId="5D90E733" w14:textId="56EF120D" w:rsidR="00B8044D" w:rsidRDefault="008C7D27" w:rsidP="00B8044D">
      <w:pPr>
        <w:pStyle w:val="CETBodytext"/>
      </w:pPr>
      <w:r>
        <w:rPr>
          <w:noProof/>
          <w:lang w:val="it-IT" w:eastAsia="it-IT"/>
        </w:rPr>
        <w:drawing>
          <wp:inline distT="0" distB="0" distL="0" distR="0" wp14:anchorId="4834900A" wp14:editId="2386BBC2">
            <wp:extent cx="3027226" cy="2130077"/>
            <wp:effectExtent l="0" t="0" r="1905"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8771" cy="2152273"/>
                    </a:xfrm>
                    <a:prstGeom prst="rect">
                      <a:avLst/>
                    </a:prstGeom>
                    <a:noFill/>
                  </pic:spPr>
                </pic:pic>
              </a:graphicData>
            </a:graphic>
          </wp:inline>
        </w:drawing>
      </w:r>
    </w:p>
    <w:p w14:paraId="1B027223" w14:textId="2AD06982" w:rsidR="004C6570" w:rsidRDefault="00033197">
      <w:pPr>
        <w:pStyle w:val="CETCaption"/>
      </w:pPr>
      <w:r w:rsidRPr="004F3BDD">
        <w:t xml:space="preserve">Figure </w:t>
      </w:r>
      <w:r w:rsidR="001D61C9">
        <w:t>3</w:t>
      </w:r>
      <w:r w:rsidRPr="004F3BDD">
        <w:t xml:space="preserve">. </w:t>
      </w:r>
      <w:r w:rsidR="00F15E0F">
        <w:t xml:space="preserve">a) </w:t>
      </w:r>
      <w:r>
        <w:t xml:space="preserve">Mass </w:t>
      </w:r>
      <w:r w:rsidR="001B3394">
        <w:t xml:space="preserve">of adsorbent </w:t>
      </w:r>
      <w:r>
        <w:t>los</w:t>
      </w:r>
      <w:r w:rsidR="00225A55">
        <w:t>t</w:t>
      </w:r>
      <w:r w:rsidR="001B3394">
        <w:t xml:space="preserve"> </w:t>
      </w:r>
      <w:r w:rsidR="00225A55">
        <w:t>(</w:t>
      </w:r>
      <w:proofErr w:type="spellStart"/>
      <w:r w:rsidR="00225A55">
        <w:rPr>
          <w:rFonts w:cs="Arial"/>
        </w:rPr>
        <w:t>Δ</w:t>
      </w:r>
      <w:r w:rsidR="00225A55" w:rsidRPr="008817FF">
        <w:rPr>
          <w:vertAlign w:val="subscript"/>
        </w:rPr>
        <w:t>m</w:t>
      </w:r>
      <w:proofErr w:type="spellEnd"/>
      <w:r w:rsidR="00225A55">
        <w:t xml:space="preserve">) </w:t>
      </w:r>
      <w:r w:rsidR="001B3394">
        <w:t xml:space="preserve">in </w:t>
      </w:r>
      <w:r w:rsidR="004D534D" w:rsidRPr="00DB405E">
        <w:rPr>
          <w:highlight w:val="yellow"/>
        </w:rPr>
        <w:t>water</w:t>
      </w:r>
      <w:r w:rsidR="001B3394">
        <w:t xml:space="preserve"> phase</w:t>
      </w:r>
      <w:r>
        <w:t xml:space="preserve"> during the adsorption test in batch</w:t>
      </w:r>
      <w:r w:rsidR="00F15E0F">
        <w:t xml:space="preserve"> with t</w:t>
      </w:r>
      <w:r>
        <w:t xml:space="preserve">he contribution of the elements Na, </w:t>
      </w:r>
      <w:r w:rsidR="00225A55">
        <w:t>K</w:t>
      </w:r>
      <w:r>
        <w:t>, C, Si and Fe to the total mass lost.</w:t>
      </w:r>
      <w:r w:rsidR="00F15E0F">
        <w:t xml:space="preserve"> b) </w:t>
      </w:r>
      <w:r w:rsidR="00225A55">
        <w:t>D</w:t>
      </w:r>
      <w:r w:rsidR="00F15E0F">
        <w:t xml:space="preserve">istribution of </w:t>
      </w:r>
      <w:bookmarkStart w:id="12" w:name="_Hlk94096779"/>
      <w:proofErr w:type="spellStart"/>
      <w:r w:rsidR="00F15E0F">
        <w:rPr>
          <w:rFonts w:cs="Arial"/>
        </w:rPr>
        <w:t>Δ</w:t>
      </w:r>
      <w:r w:rsidR="00F15E0F" w:rsidRPr="008817FF">
        <w:rPr>
          <w:vertAlign w:val="subscript"/>
        </w:rPr>
        <w:t>m</w:t>
      </w:r>
      <w:proofErr w:type="spellEnd"/>
      <w:r w:rsidR="00F15E0F">
        <w:t xml:space="preserve"> </w:t>
      </w:r>
      <w:bookmarkEnd w:id="12"/>
      <w:r w:rsidR="00F15E0F">
        <w:t>for all analysed samples.</w:t>
      </w:r>
    </w:p>
    <w:p w14:paraId="47E15DB0" w14:textId="0FAB885E" w:rsidR="00F232A9" w:rsidRPr="00B8044D" w:rsidRDefault="000B2655" w:rsidP="008817FF">
      <w:pPr>
        <w:pStyle w:val="CETBodytext"/>
      </w:pPr>
      <w:r>
        <w:t xml:space="preserve">All the adsorbents tested lost a fraction of their mass in the </w:t>
      </w:r>
      <w:r w:rsidR="004D534D" w:rsidRPr="00F366B9">
        <w:rPr>
          <w:highlight w:val="yellow"/>
        </w:rPr>
        <w:t>water</w:t>
      </w:r>
      <w:r w:rsidR="004D534D">
        <w:t xml:space="preserve"> </w:t>
      </w:r>
      <w:r>
        <w:t>phase</w:t>
      </w:r>
      <w:r w:rsidR="00FC2CBA">
        <w:t xml:space="preserve"> (Figure 1a)</w:t>
      </w:r>
      <w:r>
        <w:t>. There was no significant effect induced by the factors tested (</w:t>
      </w:r>
      <w:r>
        <w:rPr>
          <w:rFonts w:cs="Arial"/>
        </w:rPr>
        <w:t>α</w:t>
      </w:r>
      <w:r>
        <w:t xml:space="preserve"> = 0.01), for an average value of </w:t>
      </w:r>
      <w:r w:rsidR="00202DDE">
        <w:t>36 % loss and minimum and maximum of 23 and 46 %, respectively</w:t>
      </w:r>
      <w:r w:rsidR="00FC2CBA">
        <w:t xml:space="preserve"> (Figure 1b)</w:t>
      </w:r>
      <w:r w:rsidR="00202DDE">
        <w:t xml:space="preserve">. </w:t>
      </w:r>
      <w:r w:rsidR="00382CF4">
        <w:t xml:space="preserve">The analysis of the elements released in the </w:t>
      </w:r>
      <w:r w:rsidR="004D534D" w:rsidRPr="00F366B9">
        <w:rPr>
          <w:highlight w:val="yellow"/>
        </w:rPr>
        <w:t>water</w:t>
      </w:r>
      <w:r w:rsidR="00382CF4">
        <w:t xml:space="preserve"> phase indicated that such a mass loss was mainly due to Na and K, which were respectively derived from the SS used in the </w:t>
      </w:r>
      <w:r w:rsidR="00382CF4">
        <w:lastRenderedPageBreak/>
        <w:t>granulation and KOH used for Fe precipitation. C, Si and Fe were not released at remarkable amount</w:t>
      </w:r>
      <w:r w:rsidR="00360CF8">
        <w:t>s</w:t>
      </w:r>
      <w:r w:rsidR="00382CF4">
        <w:t>, indicating</w:t>
      </w:r>
      <w:r w:rsidR="00360CF8">
        <w:t xml:space="preserve"> no remarkable organic carbon l</w:t>
      </w:r>
      <w:r w:rsidR="00225A55">
        <w:t>o</w:t>
      </w:r>
      <w:r w:rsidR="00360CF8">
        <w:t xml:space="preserve">ss </w:t>
      </w:r>
      <w:r w:rsidR="00CA2DD7">
        <w:t>occurred</w:t>
      </w:r>
      <w:r w:rsidR="00382CF4">
        <w:t xml:space="preserve">. </w:t>
      </w:r>
      <w:r w:rsidR="00FC2CBA">
        <w:t xml:space="preserve">The sum of the elements </w:t>
      </w:r>
      <w:r w:rsidR="00D903A4">
        <w:t>analyzed</w:t>
      </w:r>
      <w:r w:rsidR="00FC2CBA">
        <w:t xml:space="preserve"> did not close the mas</w:t>
      </w:r>
      <w:r w:rsidR="00A30809">
        <w:t>s</w:t>
      </w:r>
      <w:r w:rsidR="00FC2CBA">
        <w:t xml:space="preserve"> balance of the </w:t>
      </w:r>
      <w:r w:rsidR="00360CF8">
        <w:t xml:space="preserve">whole </w:t>
      </w:r>
      <w:r w:rsidR="00FC2CBA">
        <w:t xml:space="preserve">lost mass, </w:t>
      </w:r>
      <w:r w:rsidR="00A30809">
        <w:t xml:space="preserve">suggesting </w:t>
      </w:r>
      <w:r w:rsidR="00FC2CBA">
        <w:t>that other elements gave a relevant contribution</w:t>
      </w:r>
      <w:r w:rsidR="00D903A4">
        <w:t xml:space="preserve">, </w:t>
      </w:r>
      <w:r w:rsidR="00360CF8">
        <w:t xml:space="preserve">likely </w:t>
      </w:r>
      <w:r w:rsidR="00DC30D3">
        <w:t xml:space="preserve">mainly </w:t>
      </w:r>
      <w:r w:rsidR="00360CF8">
        <w:t xml:space="preserve">O </w:t>
      </w:r>
      <w:r w:rsidR="00DC30D3">
        <w:t>as</w:t>
      </w:r>
      <w:r w:rsidR="00360CF8">
        <w:t xml:space="preserve"> </w:t>
      </w:r>
      <w:r w:rsidR="00DC30D3">
        <w:t>hydroxides</w:t>
      </w:r>
      <w:r w:rsidR="00360CF8">
        <w:t xml:space="preserve"> and </w:t>
      </w:r>
      <w:r w:rsidR="00DC30D3">
        <w:t>oxides</w:t>
      </w:r>
      <w:r w:rsidR="00360CF8">
        <w:t xml:space="preserve"> related to K and Na</w:t>
      </w:r>
      <w:r w:rsidR="00D903A4">
        <w:t xml:space="preserve">. This mass loss is </w:t>
      </w:r>
      <w:r w:rsidR="00A30809">
        <w:t xml:space="preserve">relatively </w:t>
      </w:r>
      <w:r w:rsidR="00D903A4">
        <w:t xml:space="preserve">high and should be reduced. </w:t>
      </w:r>
      <w:r w:rsidR="00A30809">
        <w:t xml:space="preserve">The </w:t>
      </w:r>
      <w:r w:rsidR="00D903A4">
        <w:t xml:space="preserve">main reason </w:t>
      </w:r>
      <w:r w:rsidR="00A30809">
        <w:t xml:space="preserve">for </w:t>
      </w:r>
      <w:r w:rsidR="00D903A4">
        <w:t>such mass loss was the utilization of magnetic stirring (with magnetic bars) that induced a mechanical beating of the particles, inducing their pulverization. The adoption of a packed column could reduce this side effect. A preliminary test conducted with a packed column operate</w:t>
      </w:r>
      <w:r w:rsidR="00593E9C">
        <w:t xml:space="preserve">d for 18 h at controlled pH indicated no relevant change in the adsorbent morphology and a mass loss of 27 </w:t>
      </w:r>
      <w:r w:rsidR="00593E9C">
        <w:rPr>
          <w:rFonts w:cs="Arial"/>
        </w:rPr>
        <w:t>±</w:t>
      </w:r>
      <w:r w:rsidR="00593E9C">
        <w:t xml:space="preserve"> 2 %. </w:t>
      </w:r>
      <w:r w:rsidR="00A30809">
        <w:t>Therefore,</w:t>
      </w:r>
      <w:r w:rsidR="00593E9C">
        <w:t xml:space="preserve"> washing to stabilize the adsorbent seems mandatory before </w:t>
      </w:r>
      <w:r w:rsidR="000D33F0">
        <w:t>applying</w:t>
      </w:r>
      <w:r w:rsidR="00593E9C">
        <w:t xml:space="preserve"> for water treatment. </w:t>
      </w:r>
    </w:p>
    <w:p w14:paraId="2BD412E3" w14:textId="77777777" w:rsidR="004C6570" w:rsidRPr="004C6570" w:rsidRDefault="00CE3070" w:rsidP="00C112C5">
      <w:pPr>
        <w:pStyle w:val="CETheadingx"/>
      </w:pPr>
      <w:r>
        <w:t>Evaluation of the c</w:t>
      </w:r>
      <w:r w:rsidR="004C6570">
        <w:t>ost associated with the use of the binder</w:t>
      </w:r>
    </w:p>
    <w:p w14:paraId="01E5622A" w14:textId="6A383D22" w:rsidR="00737B26" w:rsidRPr="00CE3070" w:rsidRDefault="00AA1E58" w:rsidP="004C6570">
      <w:pPr>
        <w:pStyle w:val="CETBodytext"/>
      </w:pPr>
      <w:r>
        <w:t>The variation in</w:t>
      </w:r>
      <w:r w:rsidR="004C6570" w:rsidRPr="004C6570">
        <w:t xml:space="preserve"> the </w:t>
      </w:r>
      <w:r w:rsidR="00CA4AF2">
        <w:t>SS</w:t>
      </w:r>
      <w:r w:rsidR="00CA2DD7">
        <w:t>%</w:t>
      </w:r>
      <w:r w:rsidR="004C6570" w:rsidRPr="004C6570">
        <w:t xml:space="preserve"> employed for the granulation</w:t>
      </w:r>
      <w:r w:rsidR="00CA2DD7">
        <w:t xml:space="preserve"> gave</w:t>
      </w:r>
      <w:r w:rsidR="004C6570" w:rsidRPr="004C6570">
        <w:t xml:space="preserve"> a variable </w:t>
      </w:r>
      <w:r w:rsidR="00CA4AF2">
        <w:t>SS%</w:t>
      </w:r>
      <w:r w:rsidR="004C6570" w:rsidRPr="004C6570">
        <w:t xml:space="preserve"> in the final adsorbent obtained</w:t>
      </w:r>
      <w:r w:rsidR="00CA4AF2">
        <w:t xml:space="preserve">, resulting </w:t>
      </w:r>
      <w:r w:rsidR="00593E9C">
        <w:t>in a variable</w:t>
      </w:r>
      <w:r w:rsidR="00794A36">
        <w:t xml:space="preserve"> cost</w:t>
      </w:r>
      <w:r w:rsidR="004C6570" w:rsidRPr="004C6570">
        <w:t xml:space="preserve"> associated </w:t>
      </w:r>
      <w:r w:rsidR="00593E9C">
        <w:t>with</w:t>
      </w:r>
      <w:r w:rsidR="004C6570" w:rsidRPr="004C6570">
        <w:t xml:space="preserve"> </w:t>
      </w:r>
      <w:r w:rsidR="00CA4AF2">
        <w:t>SS</w:t>
      </w:r>
      <w:r w:rsidR="00593E9C">
        <w:t xml:space="preserve"> purchasing</w:t>
      </w:r>
      <w:r w:rsidR="004C6570" w:rsidRPr="004C6570">
        <w:t>.</w:t>
      </w:r>
      <w:r w:rsidR="00794A36">
        <w:t xml:space="preserve"> Considering the different yields obtained by the </w:t>
      </w:r>
      <w:r w:rsidR="00593E9C">
        <w:t xml:space="preserve">different </w:t>
      </w:r>
      <w:r w:rsidR="00794A36">
        <w:t xml:space="preserve">activation </w:t>
      </w:r>
      <w:r w:rsidR="00CA4AF2">
        <w:t>conditions (Table 2)</w:t>
      </w:r>
      <w:r w:rsidR="00794A36">
        <w:t xml:space="preserve">, the </w:t>
      </w:r>
      <w:r w:rsidR="00CA2DD7">
        <w:t>SS%</w:t>
      </w:r>
      <w:r w:rsidR="00794A36">
        <w:t xml:space="preserve"> in the obtained </w:t>
      </w:r>
      <w:r w:rsidR="00CA4AF2">
        <w:t xml:space="preserve">final </w:t>
      </w:r>
      <w:r w:rsidR="00794A36">
        <w:t>adsorbent</w:t>
      </w:r>
      <w:r w:rsidR="00CA4AF2">
        <w:t>s was calculated</w:t>
      </w:r>
      <w:r w:rsidR="00794A36">
        <w:t xml:space="preserve"> by assuming that only organic specie</w:t>
      </w:r>
      <w:r w:rsidR="00CA4AF2">
        <w:t>s</w:t>
      </w:r>
      <w:r w:rsidR="00794A36">
        <w:t xml:space="preserve"> were </w:t>
      </w:r>
      <w:r w:rsidR="00593E9C">
        <w:t>lost</w:t>
      </w:r>
      <w:r w:rsidR="00794A36">
        <w:t xml:space="preserve"> during activation. </w:t>
      </w:r>
      <w:r w:rsidR="005063FB">
        <w:t>A</w:t>
      </w:r>
      <w:r w:rsidR="00CA4AF2">
        <w:t xml:space="preserve"> commercial SS solution (38</w:t>
      </w:r>
      <w:r w:rsidR="00174C80">
        <w:t xml:space="preserve"> </w:t>
      </w:r>
      <w:r w:rsidR="00CA4AF2">
        <w:t>% w/w)</w:t>
      </w:r>
      <w:r w:rsidR="005063FB">
        <w:t xml:space="preserve"> was </w:t>
      </w:r>
      <w:r w:rsidR="00E36833">
        <w:t>utilized</w:t>
      </w:r>
      <w:r w:rsidR="00CA4AF2">
        <w:t xml:space="preserve">, with a 0.38 </w:t>
      </w:r>
      <w:r w:rsidR="00CA4AF2">
        <w:rPr>
          <w:rFonts w:cs="Arial"/>
        </w:rPr>
        <w:t>€</w:t>
      </w:r>
      <w:r w:rsidR="00CA4AF2">
        <w:t xml:space="preserve"> kg</w:t>
      </w:r>
      <w:r w:rsidR="00CA4AF2" w:rsidRPr="008817FF">
        <w:rPr>
          <w:vertAlign w:val="superscript"/>
        </w:rPr>
        <w:t>-1</w:t>
      </w:r>
      <w:r w:rsidR="00CA4AF2">
        <w:t xml:space="preserve"> cost</w:t>
      </w:r>
      <w:r w:rsidR="005063FB">
        <w:t>.</w:t>
      </w:r>
      <w:r w:rsidR="006C0C1D">
        <w:t xml:space="preserve"> For </w:t>
      </w:r>
      <w:r w:rsidR="00225A55">
        <w:t>16</w:t>
      </w:r>
      <w:r w:rsidR="00174C80">
        <w:t xml:space="preserve"> </w:t>
      </w:r>
      <w:r w:rsidR="006C0C1D">
        <w:t xml:space="preserve">% SS, the associated cost varied between 0.28 to 0.78 </w:t>
      </w:r>
      <w:r w:rsidR="006C0C1D">
        <w:rPr>
          <w:rFonts w:cs="Arial"/>
        </w:rPr>
        <w:t>€</w:t>
      </w:r>
      <w:r w:rsidR="006C0C1D">
        <w:t xml:space="preserve"> kg</w:t>
      </w:r>
      <w:r w:rsidR="006C0C1D" w:rsidRPr="007C094A">
        <w:rPr>
          <w:vertAlign w:val="superscript"/>
        </w:rPr>
        <w:t>-1</w:t>
      </w:r>
      <w:r w:rsidR="006C0C1D">
        <w:t>,</w:t>
      </w:r>
      <w:r w:rsidR="00CE3070">
        <w:t xml:space="preserve"> </w:t>
      </w:r>
      <w:r w:rsidR="006C0C1D">
        <w:t xml:space="preserve">for </w:t>
      </w:r>
      <w:r w:rsidR="00225A55">
        <w:t>36</w:t>
      </w:r>
      <w:r w:rsidR="00174C80">
        <w:t xml:space="preserve"> </w:t>
      </w:r>
      <w:r w:rsidR="006C0C1D">
        <w:t xml:space="preserve">% SS, the cost varied between 0.54 to 0.90 </w:t>
      </w:r>
      <w:r w:rsidR="006C0C1D">
        <w:rPr>
          <w:rFonts w:cs="Arial"/>
        </w:rPr>
        <w:t>€</w:t>
      </w:r>
      <w:r w:rsidR="006C0C1D">
        <w:t xml:space="preserve"> kg</w:t>
      </w:r>
      <w:r w:rsidR="006C0C1D" w:rsidRPr="007C094A">
        <w:rPr>
          <w:vertAlign w:val="superscript"/>
        </w:rPr>
        <w:t>-1</w:t>
      </w:r>
      <w:r w:rsidR="00CE3070">
        <w:t xml:space="preserve">, while for </w:t>
      </w:r>
      <w:r w:rsidR="00225A55">
        <w:t>53</w:t>
      </w:r>
      <w:r w:rsidR="00174C80">
        <w:t xml:space="preserve"> </w:t>
      </w:r>
      <w:r w:rsidR="00CE3070">
        <w:t xml:space="preserve">% SS, the cost varied between 0.65 to 1.01 </w:t>
      </w:r>
      <w:r w:rsidR="00CE3070">
        <w:rPr>
          <w:rFonts w:cs="Arial"/>
        </w:rPr>
        <w:t>€</w:t>
      </w:r>
      <w:r w:rsidR="00CE3070">
        <w:t xml:space="preserve"> kg</w:t>
      </w:r>
      <w:r w:rsidR="00CE3070" w:rsidRPr="007C094A">
        <w:rPr>
          <w:vertAlign w:val="superscript"/>
        </w:rPr>
        <w:t>-1</w:t>
      </w:r>
      <w:r w:rsidR="00CE3070">
        <w:t>. Considering the cost of conventional GFH adsorbents (5</w:t>
      </w:r>
      <w:r w:rsidR="005A67E6">
        <w:t xml:space="preserve"> </w:t>
      </w:r>
      <w:r w:rsidR="00CE3070">
        <w:t>-</w:t>
      </w:r>
      <w:r w:rsidR="005A67E6">
        <w:t xml:space="preserve"> </w:t>
      </w:r>
      <w:r w:rsidR="00CE3070">
        <w:t xml:space="preserve">10 </w:t>
      </w:r>
      <w:r w:rsidR="00CE3070">
        <w:rPr>
          <w:rFonts w:cs="Arial"/>
        </w:rPr>
        <w:t>€</w:t>
      </w:r>
      <w:r w:rsidR="00CE3070">
        <w:t xml:space="preserve"> kg</w:t>
      </w:r>
      <w:r w:rsidR="00CE3070" w:rsidRPr="007C094A">
        <w:rPr>
          <w:vertAlign w:val="superscript"/>
        </w:rPr>
        <w:t>-1</w:t>
      </w:r>
      <w:r w:rsidR="00CE3070">
        <w:t xml:space="preserve">), this preliminary assessment indicates that the amount of binder used </w:t>
      </w:r>
      <w:r w:rsidR="00DC30D3">
        <w:t>can be</w:t>
      </w:r>
      <w:r w:rsidR="00CE3070">
        <w:t xml:space="preserve"> compatible with the production of a cheaper adsorbent. A more </w:t>
      </w:r>
      <w:r w:rsidR="00DC30D3">
        <w:t>comprehensive</w:t>
      </w:r>
      <w:r w:rsidR="00CE3070">
        <w:t xml:space="preserve"> cost assessment </w:t>
      </w:r>
      <w:r w:rsidR="0047057D">
        <w:t>will be</w:t>
      </w:r>
      <w:r w:rsidR="00CE3070">
        <w:t xml:space="preserve"> required to </w:t>
      </w:r>
      <w:r w:rsidR="005063FB">
        <w:t>consider</w:t>
      </w:r>
      <w:r w:rsidR="00CE3070">
        <w:t xml:space="preserve"> the cost associated </w:t>
      </w:r>
      <w:r w:rsidR="005063FB">
        <w:t>with</w:t>
      </w:r>
      <w:r w:rsidR="00CE3070">
        <w:t xml:space="preserve"> the whole process.</w:t>
      </w:r>
    </w:p>
    <w:p w14:paraId="57F3949D" w14:textId="77777777" w:rsidR="00600535" w:rsidRPr="00B57B36" w:rsidRDefault="00600535" w:rsidP="00600535">
      <w:pPr>
        <w:pStyle w:val="CETHeading1"/>
        <w:rPr>
          <w:lang w:val="en-GB"/>
        </w:rPr>
      </w:pPr>
      <w:r w:rsidRPr="00B57B36">
        <w:rPr>
          <w:lang w:val="en-GB"/>
        </w:rPr>
        <w:t>Conclusions</w:t>
      </w:r>
    </w:p>
    <w:p w14:paraId="36991D16" w14:textId="6FDAD3CC" w:rsidR="00E518DF" w:rsidRPr="008817FF" w:rsidRDefault="0047057D" w:rsidP="00600535">
      <w:pPr>
        <w:pStyle w:val="CETBodytext"/>
        <w:rPr>
          <w:lang w:val="en-GB"/>
        </w:rPr>
      </w:pPr>
      <w:r w:rsidRPr="008817FF">
        <w:rPr>
          <w:lang w:val="en-GB"/>
        </w:rPr>
        <w:t>This work showed how sodium silicate</w:t>
      </w:r>
      <w:r w:rsidR="00EB60ED">
        <w:rPr>
          <w:lang w:val="en-GB"/>
        </w:rPr>
        <w:t xml:space="preserve"> (</w:t>
      </w:r>
      <w:r w:rsidR="00225A55">
        <w:rPr>
          <w:lang w:val="en-GB"/>
        </w:rPr>
        <w:t xml:space="preserve">16 </w:t>
      </w:r>
      <w:bookmarkStart w:id="13" w:name="_Hlk94218361"/>
      <w:r w:rsidR="00EB60ED">
        <w:rPr>
          <w:lang w:val="en-GB"/>
        </w:rPr>
        <w:t>-</w:t>
      </w:r>
      <w:bookmarkEnd w:id="13"/>
      <w:r w:rsidR="00225A55">
        <w:rPr>
          <w:lang w:val="en-GB"/>
        </w:rPr>
        <w:t xml:space="preserve"> 53</w:t>
      </w:r>
      <w:r w:rsidR="00174C80">
        <w:rPr>
          <w:lang w:val="en-GB"/>
        </w:rPr>
        <w:t xml:space="preserve"> </w:t>
      </w:r>
      <w:r w:rsidR="00EB60ED">
        <w:rPr>
          <w:lang w:val="en-GB"/>
        </w:rPr>
        <w:t>%)</w:t>
      </w:r>
      <w:r w:rsidRPr="008817FF">
        <w:rPr>
          <w:lang w:val="en-GB"/>
        </w:rPr>
        <w:t xml:space="preserve"> </w:t>
      </w:r>
      <w:r w:rsidR="005063FB" w:rsidRPr="008817FF">
        <w:rPr>
          <w:lang w:val="en-GB"/>
        </w:rPr>
        <w:t>c</w:t>
      </w:r>
      <w:r w:rsidR="005063FB">
        <w:rPr>
          <w:lang w:val="en-GB"/>
        </w:rPr>
        <w:t>ould</w:t>
      </w:r>
      <w:r w:rsidR="005063FB" w:rsidRPr="008817FF">
        <w:rPr>
          <w:lang w:val="en-GB"/>
        </w:rPr>
        <w:t xml:space="preserve"> </w:t>
      </w:r>
      <w:r w:rsidRPr="008817FF">
        <w:rPr>
          <w:lang w:val="en-GB"/>
        </w:rPr>
        <w:t xml:space="preserve">be employed </w:t>
      </w:r>
      <w:r w:rsidR="00AD48BB">
        <w:rPr>
          <w:lang w:val="en-GB"/>
        </w:rPr>
        <w:t xml:space="preserve">as binder </w:t>
      </w:r>
      <w:r w:rsidRPr="008817FF">
        <w:rPr>
          <w:lang w:val="en-GB"/>
        </w:rPr>
        <w:t>fo</w:t>
      </w:r>
      <w:r w:rsidR="00452752">
        <w:rPr>
          <w:lang w:val="en-GB"/>
        </w:rPr>
        <w:t>r</w:t>
      </w:r>
      <w:r w:rsidRPr="008817FF">
        <w:rPr>
          <w:lang w:val="en-GB"/>
        </w:rPr>
        <w:t xml:space="preserve"> granulati</w:t>
      </w:r>
      <w:r w:rsidR="00452752">
        <w:rPr>
          <w:lang w:val="en-GB"/>
        </w:rPr>
        <w:t>ng the</w:t>
      </w:r>
      <w:r w:rsidRPr="008817FF">
        <w:rPr>
          <w:lang w:val="en-GB"/>
        </w:rPr>
        <w:t xml:space="preserve"> </w:t>
      </w:r>
      <w:r w:rsidR="00AD48BB">
        <w:rPr>
          <w:lang w:val="en-GB"/>
        </w:rPr>
        <w:t xml:space="preserve">Fe-doped </w:t>
      </w:r>
      <w:proofErr w:type="spellStart"/>
      <w:r w:rsidRPr="008817FF">
        <w:rPr>
          <w:lang w:val="en-GB"/>
        </w:rPr>
        <w:t>hydrochar</w:t>
      </w:r>
      <w:proofErr w:type="spellEnd"/>
      <w:r w:rsidR="00AD48BB">
        <w:rPr>
          <w:lang w:val="en-GB"/>
        </w:rPr>
        <w:t xml:space="preserve"> powder for producing 2</w:t>
      </w:r>
      <w:r w:rsidR="00225A55">
        <w:rPr>
          <w:lang w:val="en-GB"/>
        </w:rPr>
        <w:t xml:space="preserve"> </w:t>
      </w:r>
      <w:r w:rsidR="00AD48BB">
        <w:rPr>
          <w:lang w:val="en-GB"/>
        </w:rPr>
        <w:t>-</w:t>
      </w:r>
      <w:r w:rsidR="00225A55">
        <w:rPr>
          <w:lang w:val="en-GB"/>
        </w:rPr>
        <w:t xml:space="preserve"> </w:t>
      </w:r>
      <w:r w:rsidR="00AD48BB">
        <w:rPr>
          <w:lang w:val="en-GB"/>
        </w:rPr>
        <w:t>4 mm particles</w:t>
      </w:r>
      <w:r w:rsidRPr="008817FF">
        <w:rPr>
          <w:lang w:val="en-GB"/>
        </w:rPr>
        <w:t xml:space="preserve">, effective </w:t>
      </w:r>
      <w:r w:rsidR="00452752">
        <w:rPr>
          <w:lang w:val="en-GB"/>
        </w:rPr>
        <w:t>on</w:t>
      </w:r>
      <w:r w:rsidRPr="008817FF">
        <w:rPr>
          <w:lang w:val="en-GB"/>
        </w:rPr>
        <w:t xml:space="preserve"> </w:t>
      </w:r>
      <w:proofErr w:type="gramStart"/>
      <w:r w:rsidRPr="008817FF">
        <w:rPr>
          <w:lang w:val="en-GB"/>
        </w:rPr>
        <w:t>As</w:t>
      </w:r>
      <w:proofErr w:type="gramEnd"/>
      <w:r w:rsidRPr="008817FF">
        <w:rPr>
          <w:lang w:val="en-GB"/>
        </w:rPr>
        <w:t xml:space="preserve"> removal from water</w:t>
      </w:r>
      <w:r w:rsidR="00AD48BB">
        <w:rPr>
          <w:lang w:val="en-GB"/>
        </w:rPr>
        <w:t xml:space="preserve"> (</w:t>
      </w:r>
      <w:proofErr w:type="spellStart"/>
      <w:r w:rsidR="00FA7D5A">
        <w:rPr>
          <w:lang w:val="en-GB"/>
        </w:rPr>
        <w:t>q</w:t>
      </w:r>
      <w:r w:rsidR="00FA7D5A" w:rsidRPr="008817FF">
        <w:rPr>
          <w:vertAlign w:val="subscript"/>
          <w:lang w:val="en-GB"/>
        </w:rPr>
        <w:t>As</w:t>
      </w:r>
      <w:proofErr w:type="spellEnd"/>
      <w:r w:rsidR="00FA7D5A">
        <w:rPr>
          <w:lang w:val="en-GB"/>
        </w:rPr>
        <w:t xml:space="preserve"> up to 12.2 mg g</w:t>
      </w:r>
      <w:r w:rsidR="00FA7D5A" w:rsidRPr="008817FF">
        <w:rPr>
          <w:vertAlign w:val="superscript"/>
          <w:lang w:val="en-GB"/>
        </w:rPr>
        <w:t>-1</w:t>
      </w:r>
      <w:r w:rsidR="00AD48BB" w:rsidRPr="008817FF">
        <w:rPr>
          <w:lang w:val="en-GB"/>
        </w:rPr>
        <w:t>)</w:t>
      </w:r>
      <w:r w:rsidRPr="008817FF">
        <w:rPr>
          <w:lang w:val="en-GB"/>
        </w:rPr>
        <w:t xml:space="preserve">. </w:t>
      </w:r>
      <w:r w:rsidR="00AD48BB">
        <w:rPr>
          <w:lang w:val="en-GB"/>
        </w:rPr>
        <w:t>Thermal a</w:t>
      </w:r>
      <w:r w:rsidR="00114F17">
        <w:rPr>
          <w:lang w:val="en-GB"/>
        </w:rPr>
        <w:t>ctivation increased the surface area up to 77</w:t>
      </w:r>
      <w:r w:rsidR="0047653A">
        <w:rPr>
          <w:lang w:val="en-GB"/>
        </w:rPr>
        <w:t xml:space="preserve"> </w:t>
      </w:r>
      <w:r w:rsidR="00114F17">
        <w:rPr>
          <w:lang w:val="en-GB"/>
        </w:rPr>
        <w:t>%</w:t>
      </w:r>
      <w:r w:rsidR="008D65F0">
        <w:rPr>
          <w:lang w:val="en-GB"/>
        </w:rPr>
        <w:t>;</w:t>
      </w:r>
      <w:r w:rsidR="00114F17">
        <w:rPr>
          <w:lang w:val="en-GB"/>
        </w:rPr>
        <w:t xml:space="preserve"> its yield decreased with temperature increase, while i</w:t>
      </w:r>
      <w:r w:rsidR="00452752">
        <w:rPr>
          <w:lang w:val="en-GB"/>
        </w:rPr>
        <w:t>ncreased a</w:t>
      </w:r>
      <w:r w:rsidR="00EB60ED">
        <w:rPr>
          <w:lang w:val="en-GB"/>
        </w:rPr>
        <w:t>ctivation temperature and silicate % increased</w:t>
      </w:r>
      <w:r w:rsidR="00AD48BB">
        <w:rPr>
          <w:lang w:val="en-GB"/>
        </w:rPr>
        <w:t xml:space="preserve"> </w:t>
      </w:r>
      <w:r w:rsidR="00EB60ED">
        <w:rPr>
          <w:lang w:val="en-GB"/>
        </w:rPr>
        <w:t xml:space="preserve">the alkaline property of the adsorbent, which required </w:t>
      </w:r>
      <w:r w:rsidR="00FA7D5A">
        <w:rPr>
          <w:lang w:val="en-GB"/>
        </w:rPr>
        <w:t>up to 9.</w:t>
      </w:r>
      <w:r w:rsidR="00360CF8">
        <w:rPr>
          <w:lang w:val="en-GB"/>
        </w:rPr>
        <w:t>6</w:t>
      </w:r>
      <w:r w:rsidR="00FA7D5A">
        <w:rPr>
          <w:lang w:val="en-GB"/>
        </w:rPr>
        <w:t xml:space="preserve"> </w:t>
      </w:r>
      <w:r w:rsidR="00360CF8">
        <w:rPr>
          <w:lang w:val="en-GB"/>
        </w:rPr>
        <w:t>m</w:t>
      </w:r>
      <w:r w:rsidR="00FA7D5A">
        <w:rPr>
          <w:lang w:val="en-GB"/>
        </w:rPr>
        <w:t>mol H</w:t>
      </w:r>
      <w:r w:rsidR="00FA7D5A" w:rsidRPr="0052658D">
        <w:rPr>
          <w:vertAlign w:val="superscript"/>
          <w:lang w:val="en-GB"/>
        </w:rPr>
        <w:t>+</w:t>
      </w:r>
      <w:r w:rsidR="00FA7D5A">
        <w:rPr>
          <w:lang w:val="en-GB"/>
        </w:rPr>
        <w:t xml:space="preserve"> g</w:t>
      </w:r>
      <w:r w:rsidR="00FA7D5A" w:rsidRPr="0052658D">
        <w:rPr>
          <w:vertAlign w:val="superscript"/>
          <w:lang w:val="en-GB"/>
        </w:rPr>
        <w:t>-1</w:t>
      </w:r>
      <w:r w:rsidR="00FA7D5A">
        <w:rPr>
          <w:lang w:val="en-GB"/>
        </w:rPr>
        <w:t xml:space="preserve"> </w:t>
      </w:r>
      <w:r w:rsidR="00EB60ED">
        <w:rPr>
          <w:lang w:val="en-GB"/>
        </w:rPr>
        <w:t>for neutraliz</w:t>
      </w:r>
      <w:r w:rsidR="00452752">
        <w:rPr>
          <w:lang w:val="en-GB"/>
        </w:rPr>
        <w:t>ation</w:t>
      </w:r>
      <w:r w:rsidR="00FA7D5A">
        <w:rPr>
          <w:lang w:val="en-GB"/>
        </w:rPr>
        <w:t xml:space="preserve">. </w:t>
      </w:r>
      <w:r w:rsidR="008D65F0">
        <w:rPr>
          <w:lang w:val="en-GB"/>
        </w:rPr>
        <w:t xml:space="preserve">Residual </w:t>
      </w:r>
      <w:r w:rsidR="00FA7D5A">
        <w:rPr>
          <w:lang w:val="en-GB"/>
        </w:rPr>
        <w:t>K and Na</w:t>
      </w:r>
      <w:r w:rsidR="00AD48BB">
        <w:rPr>
          <w:lang w:val="en-GB"/>
        </w:rPr>
        <w:t>,</w:t>
      </w:r>
      <w:r w:rsidR="008D65F0">
        <w:rPr>
          <w:lang w:val="en-GB"/>
        </w:rPr>
        <w:t xml:space="preserve"> </w:t>
      </w:r>
      <w:r w:rsidR="00FA7D5A">
        <w:rPr>
          <w:lang w:val="en-GB"/>
        </w:rPr>
        <w:t xml:space="preserve">from </w:t>
      </w:r>
      <w:proofErr w:type="spellStart"/>
      <w:r w:rsidR="00FA7D5A">
        <w:rPr>
          <w:lang w:val="en-GB"/>
        </w:rPr>
        <w:t>hydrochar</w:t>
      </w:r>
      <w:proofErr w:type="spellEnd"/>
      <w:r w:rsidR="00FA7D5A">
        <w:rPr>
          <w:lang w:val="en-GB"/>
        </w:rPr>
        <w:t xml:space="preserve"> doping and granulation</w:t>
      </w:r>
      <w:r w:rsidR="00AD48BB">
        <w:rPr>
          <w:lang w:val="en-GB"/>
        </w:rPr>
        <w:t>,</w:t>
      </w:r>
      <w:r w:rsidR="008D65F0">
        <w:rPr>
          <w:lang w:val="en-GB"/>
        </w:rPr>
        <w:t xml:space="preserve"> were largely lost in</w:t>
      </w:r>
      <w:r w:rsidR="00FA7D5A">
        <w:rPr>
          <w:lang w:val="en-GB"/>
        </w:rPr>
        <w:t xml:space="preserve"> the water phase</w:t>
      </w:r>
      <w:r w:rsidR="00AD48BB">
        <w:rPr>
          <w:lang w:val="en-GB"/>
        </w:rPr>
        <w:t xml:space="preserve"> during adsorption tests</w:t>
      </w:r>
      <w:r w:rsidR="008D65F0">
        <w:rPr>
          <w:lang w:val="en-GB"/>
        </w:rPr>
        <w:t>,</w:t>
      </w:r>
      <w:r w:rsidR="00FA7D5A">
        <w:rPr>
          <w:lang w:val="en-GB"/>
        </w:rPr>
        <w:t xml:space="preserve"> </w:t>
      </w:r>
      <w:r w:rsidR="00452752">
        <w:rPr>
          <w:lang w:val="en-GB"/>
        </w:rPr>
        <w:t xml:space="preserve">indicating that a preliminary washing </w:t>
      </w:r>
      <w:r w:rsidR="00AD48BB">
        <w:rPr>
          <w:lang w:val="en-GB"/>
        </w:rPr>
        <w:t>should be performed</w:t>
      </w:r>
      <w:r w:rsidR="00452752">
        <w:rPr>
          <w:lang w:val="en-GB"/>
        </w:rPr>
        <w:t xml:space="preserve"> before its application for water treatment. </w:t>
      </w:r>
      <w:r w:rsidR="003B4467">
        <w:rPr>
          <w:lang w:val="en-GB"/>
        </w:rPr>
        <w:t xml:space="preserve">The </w:t>
      </w:r>
      <w:r w:rsidR="0030227B">
        <w:rPr>
          <w:lang w:val="en-GB"/>
        </w:rPr>
        <w:t xml:space="preserve">cost </w:t>
      </w:r>
      <w:r w:rsidR="003B4467">
        <w:rPr>
          <w:lang w:val="en-GB"/>
        </w:rPr>
        <w:t>associate</w:t>
      </w:r>
      <w:r w:rsidR="0030227B">
        <w:rPr>
          <w:lang w:val="en-GB"/>
        </w:rPr>
        <w:t>d</w:t>
      </w:r>
      <w:r w:rsidR="003B4467">
        <w:rPr>
          <w:lang w:val="en-GB"/>
        </w:rPr>
        <w:t xml:space="preserve"> </w:t>
      </w:r>
      <w:r w:rsidR="005063FB">
        <w:rPr>
          <w:lang w:val="en-GB"/>
        </w:rPr>
        <w:t xml:space="preserve">with </w:t>
      </w:r>
      <w:r w:rsidR="003B4467">
        <w:rPr>
          <w:lang w:val="en-GB"/>
        </w:rPr>
        <w:t>the addition of silicate</w:t>
      </w:r>
      <w:r w:rsidR="00AD48BB">
        <w:rPr>
          <w:lang w:val="en-GB"/>
        </w:rPr>
        <w:t xml:space="preserve"> binder</w:t>
      </w:r>
      <w:r w:rsidR="003B4467">
        <w:rPr>
          <w:lang w:val="en-GB"/>
        </w:rPr>
        <w:t xml:space="preserve"> </w:t>
      </w:r>
      <w:r w:rsidR="005063FB">
        <w:rPr>
          <w:lang w:val="en-GB"/>
        </w:rPr>
        <w:t xml:space="preserve">suggests </w:t>
      </w:r>
      <w:r w:rsidR="003B4467">
        <w:rPr>
          <w:lang w:val="en-GB"/>
        </w:rPr>
        <w:t>that a production cost significantly lower than the conventional adsorbent could be attained</w:t>
      </w:r>
      <w:r w:rsidR="005063FB">
        <w:rPr>
          <w:lang w:val="en-GB"/>
        </w:rPr>
        <w:t>;</w:t>
      </w:r>
      <w:r w:rsidR="003B4467">
        <w:rPr>
          <w:lang w:val="en-GB"/>
        </w:rPr>
        <w:t xml:space="preserve"> </w:t>
      </w:r>
      <w:proofErr w:type="gramStart"/>
      <w:r w:rsidR="003B4467">
        <w:rPr>
          <w:lang w:val="en-GB"/>
        </w:rPr>
        <w:t>however</w:t>
      </w:r>
      <w:proofErr w:type="gramEnd"/>
      <w:r w:rsidR="003B4467">
        <w:rPr>
          <w:lang w:val="en-GB"/>
        </w:rPr>
        <w:t xml:space="preserve"> a more compre</w:t>
      </w:r>
      <w:r w:rsidR="0030227B">
        <w:rPr>
          <w:lang w:val="en-GB"/>
        </w:rPr>
        <w:t>he</w:t>
      </w:r>
      <w:r w:rsidR="003B4467">
        <w:rPr>
          <w:lang w:val="en-GB"/>
        </w:rPr>
        <w:t xml:space="preserve">nsive cost analysis </w:t>
      </w:r>
      <w:r w:rsidR="0030227B">
        <w:rPr>
          <w:lang w:val="en-GB"/>
        </w:rPr>
        <w:t xml:space="preserve">on the whole process </w:t>
      </w:r>
      <w:r w:rsidR="003B4467">
        <w:rPr>
          <w:lang w:val="en-GB"/>
        </w:rPr>
        <w:t xml:space="preserve">is </w:t>
      </w:r>
      <w:r w:rsidR="003619E7">
        <w:rPr>
          <w:lang w:val="en-GB"/>
        </w:rPr>
        <w:t xml:space="preserve">still </w:t>
      </w:r>
      <w:r w:rsidR="003B4467">
        <w:rPr>
          <w:lang w:val="en-GB"/>
        </w:rPr>
        <w:t xml:space="preserve">required.  </w:t>
      </w:r>
    </w:p>
    <w:p w14:paraId="2AFD9B80" w14:textId="77777777" w:rsidR="00600535" w:rsidRPr="00B57B36" w:rsidRDefault="00600535" w:rsidP="00600535">
      <w:pPr>
        <w:pStyle w:val="CETAcknowledgementstitle"/>
      </w:pPr>
      <w:r w:rsidRPr="00B57B36">
        <w:t>Acknowledgments</w:t>
      </w:r>
    </w:p>
    <w:p w14:paraId="580A5B52" w14:textId="7EED879F" w:rsidR="00A1687D" w:rsidRPr="00A1687D" w:rsidRDefault="005B4034" w:rsidP="00600535">
      <w:pPr>
        <w:pStyle w:val="CETBodytext"/>
        <w:rPr>
          <w:lang w:val="pt-PT"/>
        </w:rPr>
      </w:pPr>
      <w:r w:rsidRPr="005B4034">
        <w:rPr>
          <w:lang w:val="en-GB"/>
        </w:rPr>
        <w:t xml:space="preserve">Thanks are due to </w:t>
      </w:r>
      <w:r w:rsidR="008A2A41">
        <w:rPr>
          <w:lang w:val="en-GB"/>
        </w:rPr>
        <w:t xml:space="preserve">the </w:t>
      </w:r>
      <w:r w:rsidRPr="005B4034">
        <w:rPr>
          <w:lang w:val="en-GB"/>
        </w:rPr>
        <w:t>LIFE Programme of the European Union for funding the LIFE BIOAs project (LIFE19 ENV/IT/000512).</w:t>
      </w:r>
      <w:r w:rsidR="00CC4F80" w:rsidRPr="00741BE2">
        <w:t xml:space="preserve"> </w:t>
      </w:r>
      <w:r w:rsidR="00A1687D" w:rsidRPr="00A1687D">
        <w:rPr>
          <w:lang w:val="pt-PT"/>
        </w:rPr>
        <w:t xml:space="preserve">Isabel P.P. Cansado </w:t>
      </w:r>
      <w:proofErr w:type="spellStart"/>
      <w:r w:rsidR="00A1687D">
        <w:rPr>
          <w:lang w:val="pt-PT"/>
        </w:rPr>
        <w:t>also</w:t>
      </w:r>
      <w:proofErr w:type="spellEnd"/>
      <w:r w:rsidR="00A1687D">
        <w:rPr>
          <w:lang w:val="pt-PT"/>
        </w:rPr>
        <w:t xml:space="preserve"> </w:t>
      </w:r>
      <w:proofErr w:type="spellStart"/>
      <w:r w:rsidR="00A1687D">
        <w:rPr>
          <w:lang w:val="pt-PT"/>
        </w:rPr>
        <w:t>thanks</w:t>
      </w:r>
      <w:proofErr w:type="spellEnd"/>
      <w:r w:rsidR="00A1687D">
        <w:rPr>
          <w:lang w:val="pt-PT"/>
        </w:rPr>
        <w:t xml:space="preserve"> to </w:t>
      </w:r>
      <w:r w:rsidR="00A1687D" w:rsidRPr="00A1687D">
        <w:rPr>
          <w:lang w:val="pt-PT"/>
        </w:rPr>
        <w:t>LAQV</w:t>
      </w:r>
      <w:r w:rsidR="00A7674B">
        <w:rPr>
          <w:lang w:val="pt-PT"/>
        </w:rPr>
        <w:t>-</w:t>
      </w:r>
      <w:r w:rsidR="00A1687D" w:rsidRPr="00A1687D">
        <w:rPr>
          <w:lang w:val="pt-PT"/>
        </w:rPr>
        <w:t>REQUIMTE, Instituto de Investigação e Formação Avançada, Departamento de Química, Escola de Ciências e Tecnologia, Universidade de Évora, Rua Romão Ramalho 59, 7000-671 Évora – Portugal</w:t>
      </w:r>
      <w:r w:rsidR="00A1687D">
        <w:rPr>
          <w:lang w:val="pt-PT"/>
        </w:rPr>
        <w:t>.</w:t>
      </w:r>
    </w:p>
    <w:p w14:paraId="205E3973" w14:textId="77777777" w:rsidR="00600535" w:rsidRPr="008817FF" w:rsidRDefault="00600535" w:rsidP="00600535">
      <w:pPr>
        <w:pStyle w:val="CETReference"/>
        <w:rPr>
          <w:lang w:val="en-US"/>
        </w:rPr>
      </w:pPr>
      <w:r w:rsidRPr="008817FF">
        <w:rPr>
          <w:lang w:val="en-US"/>
        </w:rPr>
        <w:t>References</w:t>
      </w:r>
    </w:p>
    <w:p w14:paraId="59CEB064" w14:textId="0E01C069" w:rsidR="007A78F4" w:rsidRPr="008817FF" w:rsidRDefault="007A78F4" w:rsidP="00BD4E2E">
      <w:pPr>
        <w:pStyle w:val="CETReferencetext"/>
        <w:rPr>
          <w:lang w:val="en-US"/>
        </w:rPr>
      </w:pPr>
      <w:bookmarkStart w:id="14" w:name="_Hlk92840143"/>
      <w:r w:rsidRPr="008817FF">
        <w:rPr>
          <w:lang w:val="en-US"/>
        </w:rPr>
        <w:t xml:space="preserve">Capobianco L., Di Caprio F., </w:t>
      </w:r>
      <w:proofErr w:type="spellStart"/>
      <w:r w:rsidRPr="008817FF">
        <w:rPr>
          <w:lang w:val="en-US"/>
        </w:rPr>
        <w:t>Altimari</w:t>
      </w:r>
      <w:proofErr w:type="spellEnd"/>
      <w:r w:rsidRPr="008817FF">
        <w:rPr>
          <w:lang w:val="en-US"/>
        </w:rPr>
        <w:t xml:space="preserve"> P., </w:t>
      </w:r>
      <w:proofErr w:type="spellStart"/>
      <w:r w:rsidRPr="008817FF">
        <w:rPr>
          <w:lang w:val="en-US"/>
        </w:rPr>
        <w:t>Astolfi</w:t>
      </w:r>
      <w:proofErr w:type="spellEnd"/>
      <w:r w:rsidRPr="008817FF">
        <w:rPr>
          <w:lang w:val="en-US"/>
        </w:rPr>
        <w:t xml:space="preserve"> M.L., </w:t>
      </w:r>
      <w:proofErr w:type="spellStart"/>
      <w:r w:rsidRPr="008817FF">
        <w:rPr>
          <w:lang w:val="en-US"/>
        </w:rPr>
        <w:t>Pagnanelli</w:t>
      </w:r>
      <w:proofErr w:type="spellEnd"/>
      <w:r w:rsidRPr="008817FF">
        <w:rPr>
          <w:lang w:val="en-US"/>
        </w:rPr>
        <w:t xml:space="preserve"> F., 2020</w:t>
      </w:r>
      <w:r w:rsidR="00BC1852" w:rsidRPr="008817FF">
        <w:rPr>
          <w:lang w:val="en-US"/>
        </w:rPr>
        <w:t>,</w:t>
      </w:r>
      <w:r w:rsidRPr="008817FF">
        <w:rPr>
          <w:lang w:val="en-US"/>
        </w:rPr>
        <w:t xml:space="preserve"> </w:t>
      </w:r>
      <w:r w:rsidRPr="007A78F4">
        <w:t>Production of an iron-coated adsorbent for arsenic removal by hydrothermal carbonization of olive pomace: Effect of the feedwater pH</w:t>
      </w:r>
      <w:r w:rsidR="00BC1852">
        <w:t>,</w:t>
      </w:r>
      <w:r w:rsidRPr="007A78F4">
        <w:t xml:space="preserve"> </w:t>
      </w:r>
      <w:r w:rsidRPr="008817FF">
        <w:rPr>
          <w:lang w:val="en-US"/>
        </w:rPr>
        <w:t>Journal of Environmental Management</w:t>
      </w:r>
      <w:r w:rsidR="00BC1852">
        <w:rPr>
          <w:lang w:val="en-US"/>
        </w:rPr>
        <w:t>,</w:t>
      </w:r>
      <w:r w:rsidRPr="008817FF">
        <w:rPr>
          <w:lang w:val="en-US"/>
        </w:rPr>
        <w:t xml:space="preserve"> 273</w:t>
      </w:r>
      <w:r w:rsidR="00BC1852">
        <w:rPr>
          <w:lang w:val="en-US"/>
        </w:rPr>
        <w:t>,</w:t>
      </w:r>
      <w:r w:rsidRPr="008817FF">
        <w:rPr>
          <w:lang w:val="en-US"/>
        </w:rPr>
        <w:t xml:space="preserve"> 111164. </w:t>
      </w:r>
    </w:p>
    <w:p w14:paraId="6951CE55" w14:textId="7FF8FAA6" w:rsidR="00B07B2B" w:rsidRPr="008817FF" w:rsidRDefault="00B07B2B" w:rsidP="00BD4E2E">
      <w:pPr>
        <w:pStyle w:val="CETReferencetext"/>
        <w:rPr>
          <w:lang w:val="en-US"/>
        </w:rPr>
      </w:pPr>
      <w:r w:rsidRPr="008817FF">
        <w:rPr>
          <w:lang w:val="en-US"/>
        </w:rPr>
        <w:t xml:space="preserve">Di Caprio F., </w:t>
      </w:r>
      <w:proofErr w:type="spellStart"/>
      <w:r w:rsidRPr="008817FF">
        <w:rPr>
          <w:lang w:val="en-US"/>
        </w:rPr>
        <w:t>Pellini</w:t>
      </w:r>
      <w:proofErr w:type="spellEnd"/>
      <w:r w:rsidRPr="008817FF">
        <w:rPr>
          <w:lang w:val="en-US"/>
        </w:rPr>
        <w:t xml:space="preserve"> A., </w:t>
      </w:r>
      <w:proofErr w:type="spellStart"/>
      <w:r w:rsidR="009C00B6" w:rsidRPr="008817FF">
        <w:rPr>
          <w:lang w:val="en-US"/>
        </w:rPr>
        <w:t>Zanoni</w:t>
      </w:r>
      <w:proofErr w:type="spellEnd"/>
      <w:r w:rsidR="009C00B6" w:rsidRPr="008817FF">
        <w:rPr>
          <w:lang w:val="en-US"/>
        </w:rPr>
        <w:t xml:space="preserve"> R., </w:t>
      </w:r>
      <w:proofErr w:type="spellStart"/>
      <w:r w:rsidR="009C00B6" w:rsidRPr="008817FF">
        <w:rPr>
          <w:lang w:val="en-US"/>
        </w:rPr>
        <w:t>Astolfi</w:t>
      </w:r>
      <w:proofErr w:type="spellEnd"/>
      <w:r w:rsidR="009C00B6" w:rsidRPr="008817FF">
        <w:rPr>
          <w:lang w:val="en-US"/>
        </w:rPr>
        <w:t xml:space="preserve"> M.L., </w:t>
      </w:r>
      <w:proofErr w:type="spellStart"/>
      <w:r w:rsidR="009C00B6" w:rsidRPr="008817FF">
        <w:rPr>
          <w:lang w:val="en-US"/>
        </w:rPr>
        <w:t>Altimari</w:t>
      </w:r>
      <w:proofErr w:type="spellEnd"/>
      <w:r w:rsidR="009C00B6" w:rsidRPr="008817FF">
        <w:rPr>
          <w:lang w:val="en-US"/>
        </w:rPr>
        <w:t xml:space="preserve"> P., </w:t>
      </w:r>
      <w:proofErr w:type="spellStart"/>
      <w:r w:rsidR="009C00B6" w:rsidRPr="008817FF">
        <w:rPr>
          <w:lang w:val="en-US"/>
        </w:rPr>
        <w:t>Pagnanelli</w:t>
      </w:r>
      <w:proofErr w:type="spellEnd"/>
      <w:r w:rsidR="009C00B6" w:rsidRPr="008817FF">
        <w:rPr>
          <w:lang w:val="en-US"/>
        </w:rPr>
        <w:t xml:space="preserve"> F., 2022</w:t>
      </w:r>
      <w:r w:rsidR="00BC1852" w:rsidRPr="008817FF">
        <w:rPr>
          <w:lang w:val="en-US"/>
        </w:rPr>
        <w:t>,</w:t>
      </w:r>
      <w:r w:rsidR="009C00B6" w:rsidRPr="008817FF">
        <w:rPr>
          <w:lang w:val="en-US"/>
        </w:rPr>
        <w:t xml:space="preserve"> Two-phase synthesis of Fe-loaded </w:t>
      </w:r>
      <w:proofErr w:type="spellStart"/>
      <w:r w:rsidR="009C00B6" w:rsidRPr="008817FF">
        <w:rPr>
          <w:lang w:val="en-US"/>
        </w:rPr>
        <w:t>hydrochar</w:t>
      </w:r>
      <w:proofErr w:type="spellEnd"/>
      <w:r w:rsidR="009C00B6" w:rsidRPr="008817FF">
        <w:rPr>
          <w:lang w:val="en-US"/>
        </w:rPr>
        <w:t xml:space="preserve"> for </w:t>
      </w:r>
      <w:proofErr w:type="gramStart"/>
      <w:r w:rsidR="009C00B6" w:rsidRPr="008817FF">
        <w:rPr>
          <w:lang w:val="en-US"/>
        </w:rPr>
        <w:t>As</w:t>
      </w:r>
      <w:proofErr w:type="gramEnd"/>
      <w:r w:rsidR="009C00B6" w:rsidRPr="008817FF">
        <w:rPr>
          <w:lang w:val="en-US"/>
        </w:rPr>
        <w:t xml:space="preserve"> removal: The distinct effects of initial pH, reaction time and Fe/</w:t>
      </w:r>
      <w:proofErr w:type="spellStart"/>
      <w:r w:rsidR="009C00B6" w:rsidRPr="008817FF">
        <w:rPr>
          <w:lang w:val="en-US"/>
        </w:rPr>
        <w:t>hydrochar</w:t>
      </w:r>
      <w:proofErr w:type="spellEnd"/>
      <w:r w:rsidR="009C00B6" w:rsidRPr="008817FF">
        <w:rPr>
          <w:lang w:val="en-US"/>
        </w:rPr>
        <w:t xml:space="preserve"> ratio</w:t>
      </w:r>
      <w:r w:rsidR="00BC1852">
        <w:rPr>
          <w:lang w:val="en-US"/>
        </w:rPr>
        <w:t>,</w:t>
      </w:r>
      <w:r w:rsidR="009C00B6">
        <w:rPr>
          <w:lang w:val="en-US"/>
        </w:rPr>
        <w:t xml:space="preserve"> </w:t>
      </w:r>
      <w:r w:rsidR="009C00B6" w:rsidRPr="007A78F4">
        <w:t>Journal of Environmental Management</w:t>
      </w:r>
      <w:r w:rsidR="00BC1852">
        <w:t>,</w:t>
      </w:r>
      <w:r w:rsidR="009C00B6">
        <w:t xml:space="preserve"> 302A</w:t>
      </w:r>
      <w:r w:rsidR="00BC1852">
        <w:t>,</w:t>
      </w:r>
      <w:r w:rsidR="009C00B6">
        <w:t xml:space="preserve"> </w:t>
      </w:r>
      <w:r w:rsidR="009C00B6" w:rsidRPr="009C00B6">
        <w:t>114058</w:t>
      </w:r>
      <w:r w:rsidR="009C00B6">
        <w:t xml:space="preserve">. </w:t>
      </w:r>
    </w:p>
    <w:p w14:paraId="02658333" w14:textId="0DB4B01D" w:rsidR="007A78F4" w:rsidRPr="00CA006A" w:rsidRDefault="00BD4E2E" w:rsidP="00CA006A">
      <w:pPr>
        <w:pStyle w:val="CETReferencetext"/>
      </w:pPr>
      <w:r w:rsidRPr="008817FF">
        <w:rPr>
          <w:lang w:val="en-US"/>
        </w:rPr>
        <w:t>Gil A</w:t>
      </w:r>
      <w:r w:rsidR="001D53DC">
        <w:rPr>
          <w:lang w:val="en-US"/>
        </w:rPr>
        <w:t>.</w:t>
      </w:r>
      <w:r w:rsidR="00BC1852">
        <w:rPr>
          <w:lang w:val="en-US"/>
        </w:rPr>
        <w:t xml:space="preserve">, </w:t>
      </w:r>
      <w:r w:rsidRPr="008817FF">
        <w:rPr>
          <w:lang w:val="en-US"/>
        </w:rPr>
        <w:t>2021</w:t>
      </w:r>
      <w:r w:rsidR="00BC1852">
        <w:rPr>
          <w:lang w:val="en-US"/>
        </w:rPr>
        <w:t>,</w:t>
      </w:r>
      <w:r w:rsidRPr="008817FF">
        <w:rPr>
          <w:lang w:val="en-US"/>
        </w:rPr>
        <w:t xml:space="preserve"> </w:t>
      </w:r>
      <w:r>
        <w:t xml:space="preserve">Current insights into lignocellulose related waste </w:t>
      </w:r>
      <w:proofErr w:type="spellStart"/>
      <w:r>
        <w:t>valorization</w:t>
      </w:r>
      <w:proofErr w:type="spellEnd"/>
      <w:r>
        <w:t>, Chemical Engineering Journal Advances, 8, 100186</w:t>
      </w:r>
      <w:r w:rsidR="00BC1852">
        <w:t>.</w:t>
      </w:r>
      <w:bookmarkStart w:id="15" w:name="_Hlk92844489"/>
    </w:p>
    <w:p w14:paraId="0B66F9B9" w14:textId="16928319" w:rsidR="008C4059" w:rsidRDefault="008C4059" w:rsidP="00CA006A">
      <w:pPr>
        <w:pStyle w:val="CETReferencetext"/>
      </w:pPr>
      <w:r w:rsidRPr="00CA006A">
        <w:t xml:space="preserve">Miranda I., </w:t>
      </w:r>
      <w:proofErr w:type="spellStart"/>
      <w:r w:rsidRPr="00CA006A">
        <w:t>Simões</w:t>
      </w:r>
      <w:proofErr w:type="spellEnd"/>
      <w:r w:rsidRPr="00CA006A">
        <w:t xml:space="preserve"> R., Medeiros B., </w:t>
      </w:r>
      <w:proofErr w:type="spellStart"/>
      <w:r w:rsidRPr="00CA006A">
        <w:t>Nampoothiri</w:t>
      </w:r>
      <w:proofErr w:type="spellEnd"/>
      <w:r w:rsidRPr="00CA006A">
        <w:t xml:space="preserve"> M., Sukumaran R.K., </w:t>
      </w:r>
      <w:proofErr w:type="spellStart"/>
      <w:r w:rsidRPr="00CA006A">
        <w:t>Rajan</w:t>
      </w:r>
      <w:proofErr w:type="spellEnd"/>
      <w:r w:rsidRPr="00CA006A">
        <w:t xml:space="preserve"> D.,</w:t>
      </w:r>
      <w:r w:rsidR="00CA006A" w:rsidRPr="00CA006A">
        <w:t xml:space="preserve"> </w:t>
      </w:r>
      <w:r>
        <w:t xml:space="preserve">Pereira H., Ferreira-Dias S., </w:t>
      </w:r>
      <w:r w:rsidR="00BC1852">
        <w:t xml:space="preserve">2019, </w:t>
      </w:r>
      <w:proofErr w:type="spellStart"/>
      <w:r>
        <w:t>Valorization</w:t>
      </w:r>
      <w:proofErr w:type="spellEnd"/>
      <w:r>
        <w:t xml:space="preserve"> of lignocellulosic residues from the olive oil industry by production of</w:t>
      </w:r>
      <w:r w:rsidR="00CA006A">
        <w:t xml:space="preserve"> </w:t>
      </w:r>
      <w:r>
        <w:t>lignin, glucose and functional sugars, Bioresource Technology</w:t>
      </w:r>
      <w:r w:rsidR="00BC1852">
        <w:t>, 292, 121936.</w:t>
      </w:r>
      <w:bookmarkEnd w:id="15"/>
    </w:p>
    <w:p w14:paraId="0886D88C" w14:textId="10304D3A" w:rsidR="00BD1140" w:rsidRDefault="00BD1140" w:rsidP="00600535">
      <w:pPr>
        <w:pStyle w:val="CETReferencetext"/>
      </w:pPr>
      <w:proofErr w:type="spellStart"/>
      <w:r w:rsidRPr="008817FF">
        <w:rPr>
          <w:lang w:val="en-US"/>
        </w:rPr>
        <w:t>Nicomel</w:t>
      </w:r>
      <w:proofErr w:type="spellEnd"/>
      <w:r w:rsidRPr="008817FF">
        <w:rPr>
          <w:lang w:val="en-US"/>
        </w:rPr>
        <w:t xml:space="preserve"> N.R., </w:t>
      </w:r>
      <w:proofErr w:type="spellStart"/>
      <w:r w:rsidRPr="008817FF">
        <w:rPr>
          <w:lang w:val="en-US"/>
        </w:rPr>
        <w:t>Leus</w:t>
      </w:r>
      <w:proofErr w:type="spellEnd"/>
      <w:r w:rsidRPr="008817FF">
        <w:rPr>
          <w:lang w:val="en-US"/>
        </w:rPr>
        <w:t xml:space="preserve"> K., </w:t>
      </w:r>
      <w:proofErr w:type="spellStart"/>
      <w:r w:rsidRPr="008817FF">
        <w:rPr>
          <w:lang w:val="en-US"/>
        </w:rPr>
        <w:t>Folens</w:t>
      </w:r>
      <w:proofErr w:type="spellEnd"/>
      <w:r w:rsidRPr="008817FF">
        <w:rPr>
          <w:lang w:val="en-US"/>
        </w:rPr>
        <w:t xml:space="preserve"> K., Van Der Voort P., Du Laing G.</w:t>
      </w:r>
      <w:r w:rsidR="00BC1852" w:rsidRPr="008817FF">
        <w:rPr>
          <w:lang w:val="en-US"/>
        </w:rPr>
        <w:t xml:space="preserve">, </w:t>
      </w:r>
      <w:r w:rsidRPr="008817FF">
        <w:rPr>
          <w:lang w:val="en-US"/>
        </w:rPr>
        <w:t>2015</w:t>
      </w:r>
      <w:r w:rsidR="00BC1852" w:rsidRPr="008817FF">
        <w:rPr>
          <w:lang w:val="en-US"/>
        </w:rPr>
        <w:t>,</w:t>
      </w:r>
      <w:r w:rsidRPr="008817FF">
        <w:rPr>
          <w:lang w:val="en-US"/>
        </w:rPr>
        <w:t xml:space="preserve"> </w:t>
      </w:r>
      <w:r w:rsidRPr="00BD1140">
        <w:t xml:space="preserve">Technologies for </w:t>
      </w:r>
      <w:r w:rsidR="00175D72" w:rsidRPr="00BD1140">
        <w:t xml:space="preserve">arsenic removal from water: </w:t>
      </w:r>
      <w:proofErr w:type="gramStart"/>
      <w:r w:rsidR="00175D72" w:rsidRPr="00BD1140">
        <w:t>current status</w:t>
      </w:r>
      <w:proofErr w:type="gramEnd"/>
      <w:r w:rsidR="00175D72" w:rsidRPr="00BD1140">
        <w:t xml:space="preserve"> and future perspectives</w:t>
      </w:r>
      <w:r w:rsidR="00BC1852">
        <w:t>,</w:t>
      </w:r>
      <w:r w:rsidRPr="00BD1140">
        <w:t xml:space="preserve"> International </w:t>
      </w:r>
      <w:r w:rsidR="00175D72">
        <w:t>J</w:t>
      </w:r>
      <w:r w:rsidR="00175D72" w:rsidRPr="00BD1140">
        <w:t xml:space="preserve">ournal </w:t>
      </w:r>
      <w:r w:rsidRPr="00BD1140">
        <w:t xml:space="preserve">of </w:t>
      </w:r>
      <w:r w:rsidR="00175D72">
        <w:t>E</w:t>
      </w:r>
      <w:r w:rsidR="00175D72" w:rsidRPr="00BD1140">
        <w:t xml:space="preserve">nvironmental </w:t>
      </w:r>
      <w:r w:rsidR="00175D72">
        <w:t>R</w:t>
      </w:r>
      <w:r w:rsidRPr="00BD1140">
        <w:t xml:space="preserve">esearch and </w:t>
      </w:r>
      <w:r w:rsidR="00175D72">
        <w:t>P</w:t>
      </w:r>
      <w:r w:rsidRPr="00BD1140">
        <w:t xml:space="preserve">ublic </w:t>
      </w:r>
      <w:r w:rsidR="00175D72">
        <w:t>H</w:t>
      </w:r>
      <w:r w:rsidRPr="00BD1140">
        <w:t xml:space="preserve">ealth, </w:t>
      </w:r>
      <w:r w:rsidR="00BC1852">
        <w:t>13, 62.</w:t>
      </w:r>
    </w:p>
    <w:p w14:paraId="382E2F05" w14:textId="4001C5E6" w:rsidR="00F348C5" w:rsidRDefault="00F348C5" w:rsidP="00600535">
      <w:pPr>
        <w:pStyle w:val="CETReferencetext"/>
      </w:pPr>
      <w:r w:rsidRPr="00F348C5">
        <w:t>Podgorski J., &amp; Berg M.</w:t>
      </w:r>
      <w:r w:rsidR="00BC1852">
        <w:t xml:space="preserve">, </w:t>
      </w:r>
      <w:r w:rsidRPr="00F348C5">
        <w:t>2020</w:t>
      </w:r>
      <w:r w:rsidR="00BC1852">
        <w:t>,</w:t>
      </w:r>
      <w:r w:rsidRPr="00F348C5">
        <w:t xml:space="preserve"> Global threat of arsenic in groundwater</w:t>
      </w:r>
      <w:r w:rsidR="00435915">
        <w:t>,</w:t>
      </w:r>
      <w:r w:rsidRPr="00F348C5">
        <w:t xml:space="preserve"> Science, 368, 845–850. </w:t>
      </w:r>
    </w:p>
    <w:p w14:paraId="36A7527D" w14:textId="25C1ADCB" w:rsidR="00C722E0" w:rsidRDefault="00F904BD" w:rsidP="003F3CCE">
      <w:pPr>
        <w:pStyle w:val="CETReferencetext"/>
      </w:pPr>
      <w:proofErr w:type="spellStart"/>
      <w:r w:rsidRPr="00F904BD">
        <w:t>Rahaman</w:t>
      </w:r>
      <w:proofErr w:type="spellEnd"/>
      <w:r w:rsidRPr="00F904BD">
        <w:t xml:space="preserve"> M.S.</w:t>
      </w:r>
      <w:bookmarkEnd w:id="14"/>
      <w:r w:rsidRPr="00F904BD">
        <w:t xml:space="preserve">, Rahman M.M., Mise N., </w:t>
      </w:r>
      <w:proofErr w:type="spellStart"/>
      <w:r w:rsidRPr="00F904BD">
        <w:t>Sikder</w:t>
      </w:r>
      <w:proofErr w:type="spellEnd"/>
      <w:r w:rsidRPr="00F904BD">
        <w:t xml:space="preserve"> M.T., Ichihara G., Uddin M.K., </w:t>
      </w:r>
      <w:proofErr w:type="spellStart"/>
      <w:r w:rsidRPr="00F904BD">
        <w:t>Kurasaki</w:t>
      </w:r>
      <w:proofErr w:type="spellEnd"/>
      <w:r w:rsidRPr="00F904BD">
        <w:t xml:space="preserve"> M., Ichihara S.</w:t>
      </w:r>
      <w:r w:rsidR="00435915">
        <w:t xml:space="preserve">, </w:t>
      </w:r>
      <w:r w:rsidRPr="00F904BD">
        <w:t>2021</w:t>
      </w:r>
      <w:r w:rsidR="00435915">
        <w:t>,</w:t>
      </w:r>
      <w:r w:rsidRPr="00F904BD">
        <w:t xml:space="preserve"> Environmental arsenic exposure and its contribution to human diseases, toxicity mechanism and management</w:t>
      </w:r>
      <w:r w:rsidR="00435915">
        <w:t>,</w:t>
      </w:r>
      <w:r w:rsidRPr="00F904BD">
        <w:t xml:space="preserve"> Environmental </w:t>
      </w:r>
      <w:r w:rsidR="00175D72">
        <w:t>P</w:t>
      </w:r>
      <w:r w:rsidRPr="00F904BD">
        <w:t>ollution, 289, 117940.</w:t>
      </w:r>
      <w:r w:rsidR="00E31004">
        <w:t xml:space="preserve"> </w:t>
      </w:r>
    </w:p>
    <w:sectPr w:rsidR="00C722E0" w:rsidSect="00C050A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135C" w14:textId="77777777" w:rsidR="006302DB" w:rsidRDefault="006302DB" w:rsidP="004F5E36">
      <w:r>
        <w:separator/>
      </w:r>
    </w:p>
  </w:endnote>
  <w:endnote w:type="continuationSeparator" w:id="0">
    <w:p w14:paraId="5202FD2A" w14:textId="77777777" w:rsidR="006302DB" w:rsidRDefault="006302D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2234" w14:textId="77777777" w:rsidR="006302DB" w:rsidRDefault="006302DB" w:rsidP="004F5E36">
      <w:r>
        <w:separator/>
      </w:r>
    </w:p>
  </w:footnote>
  <w:footnote w:type="continuationSeparator" w:id="0">
    <w:p w14:paraId="2FB6ED0D" w14:textId="77777777" w:rsidR="006302DB" w:rsidRDefault="006302D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68E1F0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05F"/>
    <w:rsid w:val="000027C0"/>
    <w:rsid w:val="000052FB"/>
    <w:rsid w:val="0001020A"/>
    <w:rsid w:val="000117CB"/>
    <w:rsid w:val="00016719"/>
    <w:rsid w:val="00022828"/>
    <w:rsid w:val="0003148D"/>
    <w:rsid w:val="00031EEC"/>
    <w:rsid w:val="00033197"/>
    <w:rsid w:val="00035587"/>
    <w:rsid w:val="0003627C"/>
    <w:rsid w:val="00037430"/>
    <w:rsid w:val="0004008B"/>
    <w:rsid w:val="00043C92"/>
    <w:rsid w:val="00046E03"/>
    <w:rsid w:val="000472C4"/>
    <w:rsid w:val="000479B9"/>
    <w:rsid w:val="00051566"/>
    <w:rsid w:val="00051D77"/>
    <w:rsid w:val="000529EB"/>
    <w:rsid w:val="0006031F"/>
    <w:rsid w:val="00062A9A"/>
    <w:rsid w:val="00062E38"/>
    <w:rsid w:val="00065058"/>
    <w:rsid w:val="0006574F"/>
    <w:rsid w:val="000737A9"/>
    <w:rsid w:val="000763DE"/>
    <w:rsid w:val="00077AAC"/>
    <w:rsid w:val="0008213E"/>
    <w:rsid w:val="000857FC"/>
    <w:rsid w:val="00086C39"/>
    <w:rsid w:val="00087C3D"/>
    <w:rsid w:val="00091463"/>
    <w:rsid w:val="000944F5"/>
    <w:rsid w:val="000A03B2"/>
    <w:rsid w:val="000A1EF3"/>
    <w:rsid w:val="000A2B2C"/>
    <w:rsid w:val="000A2E26"/>
    <w:rsid w:val="000A3563"/>
    <w:rsid w:val="000A5D60"/>
    <w:rsid w:val="000A6D15"/>
    <w:rsid w:val="000B2655"/>
    <w:rsid w:val="000B2845"/>
    <w:rsid w:val="000C15BC"/>
    <w:rsid w:val="000C28CA"/>
    <w:rsid w:val="000D0268"/>
    <w:rsid w:val="000D33F0"/>
    <w:rsid w:val="000D34BE"/>
    <w:rsid w:val="000D56F1"/>
    <w:rsid w:val="000D7E9E"/>
    <w:rsid w:val="000E102F"/>
    <w:rsid w:val="000E36F1"/>
    <w:rsid w:val="000E3A73"/>
    <w:rsid w:val="000E414A"/>
    <w:rsid w:val="000E6C9C"/>
    <w:rsid w:val="000F093C"/>
    <w:rsid w:val="000F2016"/>
    <w:rsid w:val="000F3657"/>
    <w:rsid w:val="000F3C65"/>
    <w:rsid w:val="000F44B0"/>
    <w:rsid w:val="000F4588"/>
    <w:rsid w:val="000F787B"/>
    <w:rsid w:val="00104F68"/>
    <w:rsid w:val="00105A18"/>
    <w:rsid w:val="00107E07"/>
    <w:rsid w:val="00111BCE"/>
    <w:rsid w:val="00112980"/>
    <w:rsid w:val="00114582"/>
    <w:rsid w:val="00114B89"/>
    <w:rsid w:val="00114ECC"/>
    <w:rsid w:val="00114F17"/>
    <w:rsid w:val="001175D7"/>
    <w:rsid w:val="001179BD"/>
    <w:rsid w:val="0012091F"/>
    <w:rsid w:val="00125107"/>
    <w:rsid w:val="00126BC2"/>
    <w:rsid w:val="00127027"/>
    <w:rsid w:val="00127DF6"/>
    <w:rsid w:val="00130079"/>
    <w:rsid w:val="001308B6"/>
    <w:rsid w:val="00130ABF"/>
    <w:rsid w:val="0013121F"/>
    <w:rsid w:val="00131FE6"/>
    <w:rsid w:val="0013263F"/>
    <w:rsid w:val="001331DF"/>
    <w:rsid w:val="00134DE4"/>
    <w:rsid w:val="0014034D"/>
    <w:rsid w:val="00143A43"/>
    <w:rsid w:val="00144D16"/>
    <w:rsid w:val="00144E2A"/>
    <w:rsid w:val="001468B4"/>
    <w:rsid w:val="00150E59"/>
    <w:rsid w:val="001528B2"/>
    <w:rsid w:val="00152DE3"/>
    <w:rsid w:val="00153074"/>
    <w:rsid w:val="00157ED2"/>
    <w:rsid w:val="00164CF9"/>
    <w:rsid w:val="001667A6"/>
    <w:rsid w:val="00174C80"/>
    <w:rsid w:val="00175D72"/>
    <w:rsid w:val="00184AD6"/>
    <w:rsid w:val="00185C86"/>
    <w:rsid w:val="00185CFE"/>
    <w:rsid w:val="00193137"/>
    <w:rsid w:val="001A4AF7"/>
    <w:rsid w:val="001A5187"/>
    <w:rsid w:val="001B0349"/>
    <w:rsid w:val="001B0E4F"/>
    <w:rsid w:val="001B1E93"/>
    <w:rsid w:val="001B3394"/>
    <w:rsid w:val="001B65C1"/>
    <w:rsid w:val="001B7981"/>
    <w:rsid w:val="001C1CDB"/>
    <w:rsid w:val="001C2354"/>
    <w:rsid w:val="001C610F"/>
    <w:rsid w:val="001C684B"/>
    <w:rsid w:val="001D0CFB"/>
    <w:rsid w:val="001D21AF"/>
    <w:rsid w:val="001D44E3"/>
    <w:rsid w:val="001D53DC"/>
    <w:rsid w:val="001D53FC"/>
    <w:rsid w:val="001D61C9"/>
    <w:rsid w:val="001E4B58"/>
    <w:rsid w:val="001F029C"/>
    <w:rsid w:val="001F2BA3"/>
    <w:rsid w:val="001F34CF"/>
    <w:rsid w:val="001F35A7"/>
    <w:rsid w:val="001F42A5"/>
    <w:rsid w:val="001F549A"/>
    <w:rsid w:val="001F6A08"/>
    <w:rsid w:val="001F7B9D"/>
    <w:rsid w:val="00201AF8"/>
    <w:rsid w:val="00201C93"/>
    <w:rsid w:val="00201FD6"/>
    <w:rsid w:val="00202DDE"/>
    <w:rsid w:val="00203D4D"/>
    <w:rsid w:val="002215A7"/>
    <w:rsid w:val="00221764"/>
    <w:rsid w:val="002224B4"/>
    <w:rsid w:val="00222643"/>
    <w:rsid w:val="00224087"/>
    <w:rsid w:val="00225A55"/>
    <w:rsid w:val="00226438"/>
    <w:rsid w:val="002338FE"/>
    <w:rsid w:val="00234C46"/>
    <w:rsid w:val="00240CD2"/>
    <w:rsid w:val="002429C7"/>
    <w:rsid w:val="0024445F"/>
    <w:rsid w:val="002447EF"/>
    <w:rsid w:val="00246394"/>
    <w:rsid w:val="00247B93"/>
    <w:rsid w:val="00251550"/>
    <w:rsid w:val="002576CD"/>
    <w:rsid w:val="00257830"/>
    <w:rsid w:val="002601C2"/>
    <w:rsid w:val="00260D68"/>
    <w:rsid w:val="00263B05"/>
    <w:rsid w:val="00263F77"/>
    <w:rsid w:val="00266364"/>
    <w:rsid w:val="00271C57"/>
    <w:rsid w:val="0027221A"/>
    <w:rsid w:val="00274FC5"/>
    <w:rsid w:val="00275B61"/>
    <w:rsid w:val="00280FAF"/>
    <w:rsid w:val="00282656"/>
    <w:rsid w:val="002826BB"/>
    <w:rsid w:val="00292662"/>
    <w:rsid w:val="00294CD1"/>
    <w:rsid w:val="0029528A"/>
    <w:rsid w:val="00295982"/>
    <w:rsid w:val="0029622B"/>
    <w:rsid w:val="00296B83"/>
    <w:rsid w:val="002A076E"/>
    <w:rsid w:val="002A4CEC"/>
    <w:rsid w:val="002A5181"/>
    <w:rsid w:val="002A6C1A"/>
    <w:rsid w:val="002A7F3C"/>
    <w:rsid w:val="002B34FA"/>
    <w:rsid w:val="002B4015"/>
    <w:rsid w:val="002B4FC5"/>
    <w:rsid w:val="002B78CE"/>
    <w:rsid w:val="002C2952"/>
    <w:rsid w:val="002C2FB6"/>
    <w:rsid w:val="002C389E"/>
    <w:rsid w:val="002C7F24"/>
    <w:rsid w:val="002D39AD"/>
    <w:rsid w:val="002E032B"/>
    <w:rsid w:val="002E3640"/>
    <w:rsid w:val="002E3B56"/>
    <w:rsid w:val="002E4EB9"/>
    <w:rsid w:val="002E5FA7"/>
    <w:rsid w:val="002F0EAD"/>
    <w:rsid w:val="002F1CD9"/>
    <w:rsid w:val="002F3309"/>
    <w:rsid w:val="002F5B5C"/>
    <w:rsid w:val="002F64CD"/>
    <w:rsid w:val="003008CE"/>
    <w:rsid w:val="003009B7"/>
    <w:rsid w:val="00300E56"/>
    <w:rsid w:val="00301D13"/>
    <w:rsid w:val="0030227B"/>
    <w:rsid w:val="0030469C"/>
    <w:rsid w:val="00312B5C"/>
    <w:rsid w:val="0031535F"/>
    <w:rsid w:val="00320818"/>
    <w:rsid w:val="00321CA6"/>
    <w:rsid w:val="003221BB"/>
    <w:rsid w:val="003225FC"/>
    <w:rsid w:val="00323763"/>
    <w:rsid w:val="00331857"/>
    <w:rsid w:val="00334C09"/>
    <w:rsid w:val="0033764E"/>
    <w:rsid w:val="00343E01"/>
    <w:rsid w:val="003501F5"/>
    <w:rsid w:val="00351CE1"/>
    <w:rsid w:val="00356D76"/>
    <w:rsid w:val="00360CF8"/>
    <w:rsid w:val="003617F1"/>
    <w:rsid w:val="003619E7"/>
    <w:rsid w:val="003641DD"/>
    <w:rsid w:val="003723D4"/>
    <w:rsid w:val="00373B7E"/>
    <w:rsid w:val="00374EAA"/>
    <w:rsid w:val="00381905"/>
    <w:rsid w:val="00382CF4"/>
    <w:rsid w:val="00384CC8"/>
    <w:rsid w:val="003871FD"/>
    <w:rsid w:val="00387414"/>
    <w:rsid w:val="003A1E30"/>
    <w:rsid w:val="003A2829"/>
    <w:rsid w:val="003A2B0A"/>
    <w:rsid w:val="003A30ED"/>
    <w:rsid w:val="003A7D1C"/>
    <w:rsid w:val="003B0728"/>
    <w:rsid w:val="003B304B"/>
    <w:rsid w:val="003B3146"/>
    <w:rsid w:val="003B4467"/>
    <w:rsid w:val="003D53AC"/>
    <w:rsid w:val="003D5679"/>
    <w:rsid w:val="003D5E58"/>
    <w:rsid w:val="003D6104"/>
    <w:rsid w:val="003F0025"/>
    <w:rsid w:val="003F015E"/>
    <w:rsid w:val="003F0D83"/>
    <w:rsid w:val="003F3351"/>
    <w:rsid w:val="003F3CCE"/>
    <w:rsid w:val="003F3CD9"/>
    <w:rsid w:val="003F770E"/>
    <w:rsid w:val="00400414"/>
    <w:rsid w:val="00402E42"/>
    <w:rsid w:val="0040334E"/>
    <w:rsid w:val="004065BF"/>
    <w:rsid w:val="0041446B"/>
    <w:rsid w:val="00415BFD"/>
    <w:rsid w:val="00420F5B"/>
    <w:rsid w:val="00421761"/>
    <w:rsid w:val="00427FEC"/>
    <w:rsid w:val="00434B49"/>
    <w:rsid w:val="00435915"/>
    <w:rsid w:val="00435D6C"/>
    <w:rsid w:val="00436ECB"/>
    <w:rsid w:val="0044071E"/>
    <w:rsid w:val="0044329C"/>
    <w:rsid w:val="004445CB"/>
    <w:rsid w:val="004510A9"/>
    <w:rsid w:val="00452752"/>
    <w:rsid w:val="00453E22"/>
    <w:rsid w:val="00453E24"/>
    <w:rsid w:val="00455A20"/>
    <w:rsid w:val="00457456"/>
    <w:rsid w:val="004577FE"/>
    <w:rsid w:val="00457B9C"/>
    <w:rsid w:val="00460408"/>
    <w:rsid w:val="0046164A"/>
    <w:rsid w:val="00461EC5"/>
    <w:rsid w:val="004628D2"/>
    <w:rsid w:val="00462DCD"/>
    <w:rsid w:val="00463E31"/>
    <w:rsid w:val="004648AD"/>
    <w:rsid w:val="004664AC"/>
    <w:rsid w:val="004668D9"/>
    <w:rsid w:val="004703A9"/>
    <w:rsid w:val="0047057D"/>
    <w:rsid w:val="00471558"/>
    <w:rsid w:val="004735F6"/>
    <w:rsid w:val="004760DE"/>
    <w:rsid w:val="004763D7"/>
    <w:rsid w:val="0047653A"/>
    <w:rsid w:val="00485AC7"/>
    <w:rsid w:val="004941CD"/>
    <w:rsid w:val="004A004E"/>
    <w:rsid w:val="004A0378"/>
    <w:rsid w:val="004A24CF"/>
    <w:rsid w:val="004A4F19"/>
    <w:rsid w:val="004B2C2C"/>
    <w:rsid w:val="004B3B75"/>
    <w:rsid w:val="004B3E20"/>
    <w:rsid w:val="004C2B11"/>
    <w:rsid w:val="004C3D1D"/>
    <w:rsid w:val="004C5D16"/>
    <w:rsid w:val="004C6570"/>
    <w:rsid w:val="004C7913"/>
    <w:rsid w:val="004D534D"/>
    <w:rsid w:val="004E3B4A"/>
    <w:rsid w:val="004E4DD6"/>
    <w:rsid w:val="004F41DF"/>
    <w:rsid w:val="004F5E36"/>
    <w:rsid w:val="004F77A1"/>
    <w:rsid w:val="005055ED"/>
    <w:rsid w:val="005063FB"/>
    <w:rsid w:val="00506808"/>
    <w:rsid w:val="00506FEE"/>
    <w:rsid w:val="00507B47"/>
    <w:rsid w:val="00507BEF"/>
    <w:rsid w:val="00507CC9"/>
    <w:rsid w:val="005119A5"/>
    <w:rsid w:val="005126FE"/>
    <w:rsid w:val="00526B6E"/>
    <w:rsid w:val="005278B7"/>
    <w:rsid w:val="00532016"/>
    <w:rsid w:val="005346C8"/>
    <w:rsid w:val="005362C1"/>
    <w:rsid w:val="005368E6"/>
    <w:rsid w:val="005416A9"/>
    <w:rsid w:val="00543E7D"/>
    <w:rsid w:val="00544D8E"/>
    <w:rsid w:val="00547A68"/>
    <w:rsid w:val="005531C9"/>
    <w:rsid w:val="00557C2D"/>
    <w:rsid w:val="00563B0A"/>
    <w:rsid w:val="0056676B"/>
    <w:rsid w:val="005676A0"/>
    <w:rsid w:val="00570C43"/>
    <w:rsid w:val="00572164"/>
    <w:rsid w:val="005746F4"/>
    <w:rsid w:val="00576C81"/>
    <w:rsid w:val="00580074"/>
    <w:rsid w:val="005837C1"/>
    <w:rsid w:val="00587707"/>
    <w:rsid w:val="00590385"/>
    <w:rsid w:val="00593E9C"/>
    <w:rsid w:val="005946AA"/>
    <w:rsid w:val="005A1160"/>
    <w:rsid w:val="005A1512"/>
    <w:rsid w:val="005A67E6"/>
    <w:rsid w:val="005A7EBC"/>
    <w:rsid w:val="005B2110"/>
    <w:rsid w:val="005B3FA6"/>
    <w:rsid w:val="005B4034"/>
    <w:rsid w:val="005B61E6"/>
    <w:rsid w:val="005B748E"/>
    <w:rsid w:val="005C77E1"/>
    <w:rsid w:val="005C7FA8"/>
    <w:rsid w:val="005D0B4C"/>
    <w:rsid w:val="005D20A6"/>
    <w:rsid w:val="005D2392"/>
    <w:rsid w:val="005D668A"/>
    <w:rsid w:val="005D6A2F"/>
    <w:rsid w:val="005E1A82"/>
    <w:rsid w:val="005E3DB3"/>
    <w:rsid w:val="005E794C"/>
    <w:rsid w:val="005F0A28"/>
    <w:rsid w:val="005F0E5E"/>
    <w:rsid w:val="005F3544"/>
    <w:rsid w:val="00600535"/>
    <w:rsid w:val="0060139D"/>
    <w:rsid w:val="00603A35"/>
    <w:rsid w:val="00604911"/>
    <w:rsid w:val="00605A67"/>
    <w:rsid w:val="00610CD6"/>
    <w:rsid w:val="00610E8E"/>
    <w:rsid w:val="00612D12"/>
    <w:rsid w:val="00614DA4"/>
    <w:rsid w:val="00620DEE"/>
    <w:rsid w:val="00621F92"/>
    <w:rsid w:val="0062280A"/>
    <w:rsid w:val="00625639"/>
    <w:rsid w:val="006302DB"/>
    <w:rsid w:val="00630C2F"/>
    <w:rsid w:val="00631B33"/>
    <w:rsid w:val="00632EE9"/>
    <w:rsid w:val="00637975"/>
    <w:rsid w:val="0064184D"/>
    <w:rsid w:val="006422CC"/>
    <w:rsid w:val="0065308C"/>
    <w:rsid w:val="006530E1"/>
    <w:rsid w:val="00655614"/>
    <w:rsid w:val="00656020"/>
    <w:rsid w:val="00660E3E"/>
    <w:rsid w:val="00662E74"/>
    <w:rsid w:val="00667AEB"/>
    <w:rsid w:val="006741E8"/>
    <w:rsid w:val="00680C23"/>
    <w:rsid w:val="00681CD5"/>
    <w:rsid w:val="0068269F"/>
    <w:rsid w:val="006840E5"/>
    <w:rsid w:val="0068723A"/>
    <w:rsid w:val="00687B4E"/>
    <w:rsid w:val="00692DCD"/>
    <w:rsid w:val="00693191"/>
    <w:rsid w:val="00693766"/>
    <w:rsid w:val="00693FF8"/>
    <w:rsid w:val="0069682F"/>
    <w:rsid w:val="006A27B3"/>
    <w:rsid w:val="006A3281"/>
    <w:rsid w:val="006A3485"/>
    <w:rsid w:val="006A3C54"/>
    <w:rsid w:val="006B0222"/>
    <w:rsid w:val="006B482F"/>
    <w:rsid w:val="006B4888"/>
    <w:rsid w:val="006B686E"/>
    <w:rsid w:val="006C0C1D"/>
    <w:rsid w:val="006C1C8C"/>
    <w:rsid w:val="006C2E45"/>
    <w:rsid w:val="006C359C"/>
    <w:rsid w:val="006C5579"/>
    <w:rsid w:val="006D07C4"/>
    <w:rsid w:val="006D0E6C"/>
    <w:rsid w:val="006D1D92"/>
    <w:rsid w:val="006D6E8B"/>
    <w:rsid w:val="006E0DAE"/>
    <w:rsid w:val="006E588C"/>
    <w:rsid w:val="006E737D"/>
    <w:rsid w:val="00702DB8"/>
    <w:rsid w:val="00705B74"/>
    <w:rsid w:val="00710D49"/>
    <w:rsid w:val="00712426"/>
    <w:rsid w:val="00713973"/>
    <w:rsid w:val="0071477F"/>
    <w:rsid w:val="00717491"/>
    <w:rsid w:val="00720792"/>
    <w:rsid w:val="00720A24"/>
    <w:rsid w:val="00727287"/>
    <w:rsid w:val="00732386"/>
    <w:rsid w:val="00733EB0"/>
    <w:rsid w:val="007341C9"/>
    <w:rsid w:val="0073514D"/>
    <w:rsid w:val="00737B26"/>
    <w:rsid w:val="00741BE2"/>
    <w:rsid w:val="007447F3"/>
    <w:rsid w:val="0075053E"/>
    <w:rsid w:val="007505C7"/>
    <w:rsid w:val="0075499F"/>
    <w:rsid w:val="007559F7"/>
    <w:rsid w:val="007661C8"/>
    <w:rsid w:val="0077098D"/>
    <w:rsid w:val="00772519"/>
    <w:rsid w:val="007736CB"/>
    <w:rsid w:val="00777ECE"/>
    <w:rsid w:val="00781445"/>
    <w:rsid w:val="007831EA"/>
    <w:rsid w:val="0078365E"/>
    <w:rsid w:val="00787AD3"/>
    <w:rsid w:val="007931FA"/>
    <w:rsid w:val="00794170"/>
    <w:rsid w:val="007944EF"/>
    <w:rsid w:val="00794A36"/>
    <w:rsid w:val="007966F7"/>
    <w:rsid w:val="007A2880"/>
    <w:rsid w:val="007A4861"/>
    <w:rsid w:val="007A6429"/>
    <w:rsid w:val="007A78F4"/>
    <w:rsid w:val="007A7BBA"/>
    <w:rsid w:val="007B04D7"/>
    <w:rsid w:val="007B0C50"/>
    <w:rsid w:val="007B45B6"/>
    <w:rsid w:val="007B48F9"/>
    <w:rsid w:val="007B584E"/>
    <w:rsid w:val="007C0170"/>
    <w:rsid w:val="007C1A43"/>
    <w:rsid w:val="007C5818"/>
    <w:rsid w:val="007D5CCB"/>
    <w:rsid w:val="007E1964"/>
    <w:rsid w:val="007E31DF"/>
    <w:rsid w:val="007E4648"/>
    <w:rsid w:val="007E549F"/>
    <w:rsid w:val="007E79A4"/>
    <w:rsid w:val="007F258F"/>
    <w:rsid w:val="0080013E"/>
    <w:rsid w:val="008036C1"/>
    <w:rsid w:val="00806D0C"/>
    <w:rsid w:val="00807A23"/>
    <w:rsid w:val="00812D30"/>
    <w:rsid w:val="00813288"/>
    <w:rsid w:val="00814566"/>
    <w:rsid w:val="008168FC"/>
    <w:rsid w:val="00827D64"/>
    <w:rsid w:val="00830996"/>
    <w:rsid w:val="0083433E"/>
    <w:rsid w:val="008345F1"/>
    <w:rsid w:val="008362DA"/>
    <w:rsid w:val="008419C3"/>
    <w:rsid w:val="0084343B"/>
    <w:rsid w:val="008449BC"/>
    <w:rsid w:val="00844B82"/>
    <w:rsid w:val="008459E5"/>
    <w:rsid w:val="00846C03"/>
    <w:rsid w:val="00860304"/>
    <w:rsid w:val="00861A97"/>
    <w:rsid w:val="00862ECA"/>
    <w:rsid w:val="00865B07"/>
    <w:rsid w:val="008667EA"/>
    <w:rsid w:val="0087198A"/>
    <w:rsid w:val="00873DBB"/>
    <w:rsid w:val="0087637F"/>
    <w:rsid w:val="008774EF"/>
    <w:rsid w:val="008817FF"/>
    <w:rsid w:val="0088258C"/>
    <w:rsid w:val="00892AD5"/>
    <w:rsid w:val="008A080B"/>
    <w:rsid w:val="008A1512"/>
    <w:rsid w:val="008A1B84"/>
    <w:rsid w:val="008A1C0A"/>
    <w:rsid w:val="008A1DB6"/>
    <w:rsid w:val="008A2A41"/>
    <w:rsid w:val="008A713C"/>
    <w:rsid w:val="008B0607"/>
    <w:rsid w:val="008B4F53"/>
    <w:rsid w:val="008B656C"/>
    <w:rsid w:val="008B75D8"/>
    <w:rsid w:val="008C0CD9"/>
    <w:rsid w:val="008C36BA"/>
    <w:rsid w:val="008C4059"/>
    <w:rsid w:val="008C7D27"/>
    <w:rsid w:val="008D32B9"/>
    <w:rsid w:val="008D3BF0"/>
    <w:rsid w:val="008D433B"/>
    <w:rsid w:val="008D6056"/>
    <w:rsid w:val="008D65F0"/>
    <w:rsid w:val="008E0125"/>
    <w:rsid w:val="008E52F1"/>
    <w:rsid w:val="008E566E"/>
    <w:rsid w:val="008E5884"/>
    <w:rsid w:val="008E5F31"/>
    <w:rsid w:val="008E6279"/>
    <w:rsid w:val="008E675D"/>
    <w:rsid w:val="008F160A"/>
    <w:rsid w:val="008F45E6"/>
    <w:rsid w:val="008F573D"/>
    <w:rsid w:val="008F660A"/>
    <w:rsid w:val="00900829"/>
    <w:rsid w:val="009008C2"/>
    <w:rsid w:val="00901245"/>
    <w:rsid w:val="0090161A"/>
    <w:rsid w:val="00901EB6"/>
    <w:rsid w:val="00904C62"/>
    <w:rsid w:val="00911426"/>
    <w:rsid w:val="00913DB8"/>
    <w:rsid w:val="009163E1"/>
    <w:rsid w:val="0091655F"/>
    <w:rsid w:val="0091661B"/>
    <w:rsid w:val="00922BA8"/>
    <w:rsid w:val="0092303D"/>
    <w:rsid w:val="0092386B"/>
    <w:rsid w:val="00923BFB"/>
    <w:rsid w:val="009248CB"/>
    <w:rsid w:val="00924DAC"/>
    <w:rsid w:val="00927058"/>
    <w:rsid w:val="00941C8B"/>
    <w:rsid w:val="00942750"/>
    <w:rsid w:val="009450CE"/>
    <w:rsid w:val="00945AB6"/>
    <w:rsid w:val="00947179"/>
    <w:rsid w:val="0095164B"/>
    <w:rsid w:val="00954090"/>
    <w:rsid w:val="00956326"/>
    <w:rsid w:val="00956AE5"/>
    <w:rsid w:val="009573E7"/>
    <w:rsid w:val="0095782F"/>
    <w:rsid w:val="00960843"/>
    <w:rsid w:val="00963E05"/>
    <w:rsid w:val="00964A45"/>
    <w:rsid w:val="00967843"/>
    <w:rsid w:val="00967AE0"/>
    <w:rsid w:val="00967D54"/>
    <w:rsid w:val="00971028"/>
    <w:rsid w:val="00972602"/>
    <w:rsid w:val="009742B5"/>
    <w:rsid w:val="00975E13"/>
    <w:rsid w:val="00982D15"/>
    <w:rsid w:val="00983E73"/>
    <w:rsid w:val="00993B84"/>
    <w:rsid w:val="00994B07"/>
    <w:rsid w:val="00996483"/>
    <w:rsid w:val="00996F5A"/>
    <w:rsid w:val="009B041A"/>
    <w:rsid w:val="009B6561"/>
    <w:rsid w:val="009C00B6"/>
    <w:rsid w:val="009C0FB9"/>
    <w:rsid w:val="009C1B27"/>
    <w:rsid w:val="009C24B6"/>
    <w:rsid w:val="009C37C3"/>
    <w:rsid w:val="009C6156"/>
    <w:rsid w:val="009C7820"/>
    <w:rsid w:val="009C792B"/>
    <w:rsid w:val="009C7C86"/>
    <w:rsid w:val="009D1061"/>
    <w:rsid w:val="009D2051"/>
    <w:rsid w:val="009D252F"/>
    <w:rsid w:val="009D266E"/>
    <w:rsid w:val="009D2FF7"/>
    <w:rsid w:val="009D32EC"/>
    <w:rsid w:val="009D46EC"/>
    <w:rsid w:val="009E0227"/>
    <w:rsid w:val="009E0FDA"/>
    <w:rsid w:val="009E456F"/>
    <w:rsid w:val="009E5243"/>
    <w:rsid w:val="009E6F11"/>
    <w:rsid w:val="009E7884"/>
    <w:rsid w:val="009E788A"/>
    <w:rsid w:val="009F0E08"/>
    <w:rsid w:val="009F547F"/>
    <w:rsid w:val="009F6D34"/>
    <w:rsid w:val="00A0006E"/>
    <w:rsid w:val="00A01AEE"/>
    <w:rsid w:val="00A07489"/>
    <w:rsid w:val="00A14502"/>
    <w:rsid w:val="00A1687D"/>
    <w:rsid w:val="00A1763D"/>
    <w:rsid w:val="00A17CEC"/>
    <w:rsid w:val="00A23186"/>
    <w:rsid w:val="00A243AB"/>
    <w:rsid w:val="00A268D4"/>
    <w:rsid w:val="00A2728C"/>
    <w:rsid w:val="00A27EF0"/>
    <w:rsid w:val="00A30809"/>
    <w:rsid w:val="00A32883"/>
    <w:rsid w:val="00A35C0E"/>
    <w:rsid w:val="00A35E6F"/>
    <w:rsid w:val="00A42361"/>
    <w:rsid w:val="00A4618D"/>
    <w:rsid w:val="00A46F5D"/>
    <w:rsid w:val="00A47E67"/>
    <w:rsid w:val="00A50B20"/>
    <w:rsid w:val="00A51390"/>
    <w:rsid w:val="00A51ABE"/>
    <w:rsid w:val="00A55ED8"/>
    <w:rsid w:val="00A5715A"/>
    <w:rsid w:val="00A57864"/>
    <w:rsid w:val="00A60D13"/>
    <w:rsid w:val="00A658DC"/>
    <w:rsid w:val="00A65990"/>
    <w:rsid w:val="00A714F7"/>
    <w:rsid w:val="00A71A43"/>
    <w:rsid w:val="00A72745"/>
    <w:rsid w:val="00A74E62"/>
    <w:rsid w:val="00A7674B"/>
    <w:rsid w:val="00A76EFC"/>
    <w:rsid w:val="00A771F1"/>
    <w:rsid w:val="00A91010"/>
    <w:rsid w:val="00A92A28"/>
    <w:rsid w:val="00A92BBC"/>
    <w:rsid w:val="00A97F29"/>
    <w:rsid w:val="00AA131A"/>
    <w:rsid w:val="00AA1E58"/>
    <w:rsid w:val="00AA2282"/>
    <w:rsid w:val="00AA2E63"/>
    <w:rsid w:val="00AA702E"/>
    <w:rsid w:val="00AB029E"/>
    <w:rsid w:val="00AB0964"/>
    <w:rsid w:val="00AB5011"/>
    <w:rsid w:val="00AB55E7"/>
    <w:rsid w:val="00AC05DB"/>
    <w:rsid w:val="00AC368F"/>
    <w:rsid w:val="00AC7368"/>
    <w:rsid w:val="00AD0FA7"/>
    <w:rsid w:val="00AD16B9"/>
    <w:rsid w:val="00AD48BB"/>
    <w:rsid w:val="00AD7C2D"/>
    <w:rsid w:val="00AE377D"/>
    <w:rsid w:val="00AE41A4"/>
    <w:rsid w:val="00AE6983"/>
    <w:rsid w:val="00AF0EBA"/>
    <w:rsid w:val="00AF138C"/>
    <w:rsid w:val="00AF6775"/>
    <w:rsid w:val="00B002CF"/>
    <w:rsid w:val="00B02C8A"/>
    <w:rsid w:val="00B07B2B"/>
    <w:rsid w:val="00B16AAE"/>
    <w:rsid w:val="00B170CE"/>
    <w:rsid w:val="00B17FBD"/>
    <w:rsid w:val="00B23BB3"/>
    <w:rsid w:val="00B24CEC"/>
    <w:rsid w:val="00B25534"/>
    <w:rsid w:val="00B315A6"/>
    <w:rsid w:val="00B31813"/>
    <w:rsid w:val="00B32ED5"/>
    <w:rsid w:val="00B33365"/>
    <w:rsid w:val="00B34B20"/>
    <w:rsid w:val="00B35C9D"/>
    <w:rsid w:val="00B41570"/>
    <w:rsid w:val="00B56ED5"/>
    <w:rsid w:val="00B57B36"/>
    <w:rsid w:val="00B57E6F"/>
    <w:rsid w:val="00B61ABD"/>
    <w:rsid w:val="00B64355"/>
    <w:rsid w:val="00B76A14"/>
    <w:rsid w:val="00B8044D"/>
    <w:rsid w:val="00B80741"/>
    <w:rsid w:val="00B819AC"/>
    <w:rsid w:val="00B857FD"/>
    <w:rsid w:val="00B862AD"/>
    <w:rsid w:val="00B8686D"/>
    <w:rsid w:val="00B86C09"/>
    <w:rsid w:val="00B874FD"/>
    <w:rsid w:val="00B92E0D"/>
    <w:rsid w:val="00B93F69"/>
    <w:rsid w:val="00B94ABC"/>
    <w:rsid w:val="00BA191E"/>
    <w:rsid w:val="00BA4FFC"/>
    <w:rsid w:val="00BB02EA"/>
    <w:rsid w:val="00BB04AD"/>
    <w:rsid w:val="00BB1DDC"/>
    <w:rsid w:val="00BB67E9"/>
    <w:rsid w:val="00BB6F51"/>
    <w:rsid w:val="00BC1852"/>
    <w:rsid w:val="00BC30C9"/>
    <w:rsid w:val="00BC38EC"/>
    <w:rsid w:val="00BC6E3B"/>
    <w:rsid w:val="00BC798A"/>
    <w:rsid w:val="00BD06D9"/>
    <w:rsid w:val="00BD077D"/>
    <w:rsid w:val="00BD1140"/>
    <w:rsid w:val="00BD4056"/>
    <w:rsid w:val="00BD4E2E"/>
    <w:rsid w:val="00BD645B"/>
    <w:rsid w:val="00BE3BC1"/>
    <w:rsid w:val="00BE3E58"/>
    <w:rsid w:val="00BE5BF3"/>
    <w:rsid w:val="00BF1421"/>
    <w:rsid w:val="00BF48D8"/>
    <w:rsid w:val="00C01616"/>
    <w:rsid w:val="00C0162B"/>
    <w:rsid w:val="00C032F8"/>
    <w:rsid w:val="00C050A1"/>
    <w:rsid w:val="00C068ED"/>
    <w:rsid w:val="00C06D39"/>
    <w:rsid w:val="00C112C5"/>
    <w:rsid w:val="00C16158"/>
    <w:rsid w:val="00C16E8E"/>
    <w:rsid w:val="00C22E0C"/>
    <w:rsid w:val="00C23A7E"/>
    <w:rsid w:val="00C345B1"/>
    <w:rsid w:val="00C37BED"/>
    <w:rsid w:val="00C40142"/>
    <w:rsid w:val="00C42D51"/>
    <w:rsid w:val="00C43096"/>
    <w:rsid w:val="00C502D1"/>
    <w:rsid w:val="00C51E6D"/>
    <w:rsid w:val="00C52C3C"/>
    <w:rsid w:val="00C56FA6"/>
    <w:rsid w:val="00C57182"/>
    <w:rsid w:val="00C57863"/>
    <w:rsid w:val="00C61038"/>
    <w:rsid w:val="00C610C2"/>
    <w:rsid w:val="00C655FD"/>
    <w:rsid w:val="00C672B0"/>
    <w:rsid w:val="00C70C0A"/>
    <w:rsid w:val="00C717D2"/>
    <w:rsid w:val="00C722E0"/>
    <w:rsid w:val="00C72B7A"/>
    <w:rsid w:val="00C73282"/>
    <w:rsid w:val="00C73E74"/>
    <w:rsid w:val="00C75407"/>
    <w:rsid w:val="00C760A8"/>
    <w:rsid w:val="00C7615D"/>
    <w:rsid w:val="00C829D5"/>
    <w:rsid w:val="00C85F95"/>
    <w:rsid w:val="00C870A8"/>
    <w:rsid w:val="00C9118E"/>
    <w:rsid w:val="00C91634"/>
    <w:rsid w:val="00C94434"/>
    <w:rsid w:val="00C94793"/>
    <w:rsid w:val="00CA006A"/>
    <w:rsid w:val="00CA00FB"/>
    <w:rsid w:val="00CA0D75"/>
    <w:rsid w:val="00CA1025"/>
    <w:rsid w:val="00CA1C95"/>
    <w:rsid w:val="00CA272F"/>
    <w:rsid w:val="00CA2CA3"/>
    <w:rsid w:val="00CA2DD7"/>
    <w:rsid w:val="00CA3447"/>
    <w:rsid w:val="00CA4AF2"/>
    <w:rsid w:val="00CA5A9C"/>
    <w:rsid w:val="00CB5DD3"/>
    <w:rsid w:val="00CB6A09"/>
    <w:rsid w:val="00CC024F"/>
    <w:rsid w:val="00CC028F"/>
    <w:rsid w:val="00CC04DB"/>
    <w:rsid w:val="00CC07B1"/>
    <w:rsid w:val="00CC18D2"/>
    <w:rsid w:val="00CC4C20"/>
    <w:rsid w:val="00CC4F80"/>
    <w:rsid w:val="00CD0809"/>
    <w:rsid w:val="00CD3517"/>
    <w:rsid w:val="00CD3E27"/>
    <w:rsid w:val="00CD5154"/>
    <w:rsid w:val="00CD5FE2"/>
    <w:rsid w:val="00CD65CA"/>
    <w:rsid w:val="00CE3070"/>
    <w:rsid w:val="00CE7C68"/>
    <w:rsid w:val="00CF4262"/>
    <w:rsid w:val="00CF4E64"/>
    <w:rsid w:val="00CF5D34"/>
    <w:rsid w:val="00D00224"/>
    <w:rsid w:val="00D01B55"/>
    <w:rsid w:val="00D02B4C"/>
    <w:rsid w:val="00D040C4"/>
    <w:rsid w:val="00D07833"/>
    <w:rsid w:val="00D164E7"/>
    <w:rsid w:val="00D20302"/>
    <w:rsid w:val="00D226C1"/>
    <w:rsid w:val="00D23F2C"/>
    <w:rsid w:val="00D27679"/>
    <w:rsid w:val="00D335FF"/>
    <w:rsid w:val="00D364C4"/>
    <w:rsid w:val="00D412BF"/>
    <w:rsid w:val="00D44C4E"/>
    <w:rsid w:val="00D46B7E"/>
    <w:rsid w:val="00D47AFC"/>
    <w:rsid w:val="00D511BE"/>
    <w:rsid w:val="00D51371"/>
    <w:rsid w:val="00D51EB2"/>
    <w:rsid w:val="00D56016"/>
    <w:rsid w:val="00D57C84"/>
    <w:rsid w:val="00D6057D"/>
    <w:rsid w:val="00D60821"/>
    <w:rsid w:val="00D70C21"/>
    <w:rsid w:val="00D71640"/>
    <w:rsid w:val="00D76C5C"/>
    <w:rsid w:val="00D76C6D"/>
    <w:rsid w:val="00D81E41"/>
    <w:rsid w:val="00D836C5"/>
    <w:rsid w:val="00D84576"/>
    <w:rsid w:val="00D903A4"/>
    <w:rsid w:val="00D904A6"/>
    <w:rsid w:val="00D91136"/>
    <w:rsid w:val="00DA11DB"/>
    <w:rsid w:val="00DA1399"/>
    <w:rsid w:val="00DA17CC"/>
    <w:rsid w:val="00DA24C6"/>
    <w:rsid w:val="00DA4D7B"/>
    <w:rsid w:val="00DB006C"/>
    <w:rsid w:val="00DB14A7"/>
    <w:rsid w:val="00DB225E"/>
    <w:rsid w:val="00DB405E"/>
    <w:rsid w:val="00DC30D3"/>
    <w:rsid w:val="00DD0D46"/>
    <w:rsid w:val="00DD1A68"/>
    <w:rsid w:val="00DE1F83"/>
    <w:rsid w:val="00DE264A"/>
    <w:rsid w:val="00DE550B"/>
    <w:rsid w:val="00DE6FE0"/>
    <w:rsid w:val="00DF0F45"/>
    <w:rsid w:val="00DF1A60"/>
    <w:rsid w:val="00DF39F4"/>
    <w:rsid w:val="00DF3BF0"/>
    <w:rsid w:val="00DF5072"/>
    <w:rsid w:val="00DF7C0D"/>
    <w:rsid w:val="00E01EA4"/>
    <w:rsid w:val="00E02039"/>
    <w:rsid w:val="00E02D18"/>
    <w:rsid w:val="00E041E7"/>
    <w:rsid w:val="00E051A7"/>
    <w:rsid w:val="00E059E0"/>
    <w:rsid w:val="00E06592"/>
    <w:rsid w:val="00E1580F"/>
    <w:rsid w:val="00E22EE4"/>
    <w:rsid w:val="00E23CA1"/>
    <w:rsid w:val="00E23E6B"/>
    <w:rsid w:val="00E31004"/>
    <w:rsid w:val="00E31E56"/>
    <w:rsid w:val="00E34A33"/>
    <w:rsid w:val="00E36833"/>
    <w:rsid w:val="00E409A8"/>
    <w:rsid w:val="00E445FA"/>
    <w:rsid w:val="00E45210"/>
    <w:rsid w:val="00E4779C"/>
    <w:rsid w:val="00E50C12"/>
    <w:rsid w:val="00E51506"/>
    <w:rsid w:val="00E51698"/>
    <w:rsid w:val="00E518DF"/>
    <w:rsid w:val="00E578DF"/>
    <w:rsid w:val="00E6017B"/>
    <w:rsid w:val="00E65B91"/>
    <w:rsid w:val="00E7209D"/>
    <w:rsid w:val="00E72EAD"/>
    <w:rsid w:val="00E77223"/>
    <w:rsid w:val="00E81372"/>
    <w:rsid w:val="00E81FDA"/>
    <w:rsid w:val="00E821F1"/>
    <w:rsid w:val="00E8374D"/>
    <w:rsid w:val="00E84A81"/>
    <w:rsid w:val="00E8528B"/>
    <w:rsid w:val="00E85B94"/>
    <w:rsid w:val="00E86521"/>
    <w:rsid w:val="00E914EF"/>
    <w:rsid w:val="00E95704"/>
    <w:rsid w:val="00E978D0"/>
    <w:rsid w:val="00EA3A7F"/>
    <w:rsid w:val="00EA4613"/>
    <w:rsid w:val="00EA493E"/>
    <w:rsid w:val="00EA7F91"/>
    <w:rsid w:val="00EB1523"/>
    <w:rsid w:val="00EB2C0F"/>
    <w:rsid w:val="00EB60ED"/>
    <w:rsid w:val="00EB616C"/>
    <w:rsid w:val="00EC0C59"/>
    <w:rsid w:val="00EC0E49"/>
    <w:rsid w:val="00EC0FF5"/>
    <w:rsid w:val="00EC101F"/>
    <w:rsid w:val="00EC13E0"/>
    <w:rsid w:val="00EC1D9F"/>
    <w:rsid w:val="00EC2822"/>
    <w:rsid w:val="00EC3BF0"/>
    <w:rsid w:val="00EC604C"/>
    <w:rsid w:val="00ED1FFB"/>
    <w:rsid w:val="00ED20CB"/>
    <w:rsid w:val="00ED76DC"/>
    <w:rsid w:val="00ED79E9"/>
    <w:rsid w:val="00EE0131"/>
    <w:rsid w:val="00EE17B0"/>
    <w:rsid w:val="00EE2D69"/>
    <w:rsid w:val="00EE3D99"/>
    <w:rsid w:val="00EE59AC"/>
    <w:rsid w:val="00EE63BA"/>
    <w:rsid w:val="00EE76F3"/>
    <w:rsid w:val="00EE7D95"/>
    <w:rsid w:val="00EF06D9"/>
    <w:rsid w:val="00EF087A"/>
    <w:rsid w:val="00EF0EE8"/>
    <w:rsid w:val="00EF45FB"/>
    <w:rsid w:val="00EF633C"/>
    <w:rsid w:val="00F00162"/>
    <w:rsid w:val="00F042F7"/>
    <w:rsid w:val="00F159E5"/>
    <w:rsid w:val="00F15E0F"/>
    <w:rsid w:val="00F167F9"/>
    <w:rsid w:val="00F21A04"/>
    <w:rsid w:val="00F21D15"/>
    <w:rsid w:val="00F232A9"/>
    <w:rsid w:val="00F23646"/>
    <w:rsid w:val="00F30C64"/>
    <w:rsid w:val="00F32BA2"/>
    <w:rsid w:val="00F32CDB"/>
    <w:rsid w:val="00F348C5"/>
    <w:rsid w:val="00F3612C"/>
    <w:rsid w:val="00F366B9"/>
    <w:rsid w:val="00F37B19"/>
    <w:rsid w:val="00F40F87"/>
    <w:rsid w:val="00F41121"/>
    <w:rsid w:val="00F4253F"/>
    <w:rsid w:val="00F46AF9"/>
    <w:rsid w:val="00F50B9D"/>
    <w:rsid w:val="00F51261"/>
    <w:rsid w:val="00F5341C"/>
    <w:rsid w:val="00F53CEA"/>
    <w:rsid w:val="00F53D9E"/>
    <w:rsid w:val="00F55BD7"/>
    <w:rsid w:val="00F560EE"/>
    <w:rsid w:val="00F565FE"/>
    <w:rsid w:val="00F57D1D"/>
    <w:rsid w:val="00F57E15"/>
    <w:rsid w:val="00F63A70"/>
    <w:rsid w:val="00F71586"/>
    <w:rsid w:val="00F7534E"/>
    <w:rsid w:val="00F82101"/>
    <w:rsid w:val="00F864B0"/>
    <w:rsid w:val="00F904BD"/>
    <w:rsid w:val="00F9316B"/>
    <w:rsid w:val="00FA1802"/>
    <w:rsid w:val="00FA21D0"/>
    <w:rsid w:val="00FA5F5F"/>
    <w:rsid w:val="00FA6A6C"/>
    <w:rsid w:val="00FA7D5A"/>
    <w:rsid w:val="00FB2332"/>
    <w:rsid w:val="00FB4B89"/>
    <w:rsid w:val="00FB5BE3"/>
    <w:rsid w:val="00FB730C"/>
    <w:rsid w:val="00FC2695"/>
    <w:rsid w:val="00FC2AF5"/>
    <w:rsid w:val="00FC2CBA"/>
    <w:rsid w:val="00FC2E0E"/>
    <w:rsid w:val="00FC2E5B"/>
    <w:rsid w:val="00FC3E03"/>
    <w:rsid w:val="00FC3FC1"/>
    <w:rsid w:val="00FD216B"/>
    <w:rsid w:val="00FD4327"/>
    <w:rsid w:val="00FD4860"/>
    <w:rsid w:val="00FD48F6"/>
    <w:rsid w:val="00FD57B2"/>
    <w:rsid w:val="00FD7EA5"/>
    <w:rsid w:val="00FE44C3"/>
    <w:rsid w:val="00FF1CFF"/>
    <w:rsid w:val="00FF7C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FB4FA1"/>
  <w15:docId w15:val="{790CD959-61C7-410F-9F01-47B1A40F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5F3544"/>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112C5"/>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112C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Menzionenonrisolta1">
    <w:name w:val="Menzione non risolta1"/>
    <w:basedOn w:val="Tipodeletrapredefinidodopargrafo"/>
    <w:uiPriority w:val="99"/>
    <w:semiHidden/>
    <w:unhideWhenUsed/>
    <w:rsid w:val="00F57D1D"/>
    <w:rPr>
      <w:color w:val="605E5C"/>
      <w:shd w:val="clear" w:color="auto" w:fill="E1DFDD"/>
    </w:rPr>
  </w:style>
  <w:style w:type="paragraph" w:styleId="Reviso">
    <w:name w:val="Revision"/>
    <w:hidden/>
    <w:uiPriority w:val="99"/>
    <w:semiHidden/>
    <w:rsid w:val="001528B2"/>
    <w:pPr>
      <w:spacing w:after="0" w:line="240" w:lineRule="auto"/>
    </w:pPr>
    <w:rPr>
      <w:rFonts w:ascii="Arial" w:eastAsia="Times New Roman" w:hAnsi="Arial" w:cs="Times New Roman"/>
      <w:sz w:val="18"/>
      <w:szCs w:val="20"/>
      <w:lang w:val="en-GB"/>
    </w:rPr>
  </w:style>
  <w:style w:type="character" w:styleId="TextodoMarcadordePosio">
    <w:name w:val="Placeholder Text"/>
    <w:basedOn w:val="Tipodeletrapredefinidodopargrafo"/>
    <w:uiPriority w:val="99"/>
    <w:semiHidden/>
    <w:rsid w:val="00DB22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0516">
      <w:bodyDiv w:val="1"/>
      <w:marLeft w:val="0"/>
      <w:marRight w:val="0"/>
      <w:marTop w:val="0"/>
      <w:marBottom w:val="0"/>
      <w:divBdr>
        <w:top w:val="none" w:sz="0" w:space="0" w:color="auto"/>
        <w:left w:val="none" w:sz="0" w:space="0" w:color="auto"/>
        <w:bottom w:val="none" w:sz="0" w:space="0" w:color="auto"/>
        <w:right w:val="none" w:sz="0" w:space="0" w:color="auto"/>
      </w:divBdr>
    </w:div>
    <w:div w:id="4284334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zio.dicaprio@uniroma1.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mm@uevora.p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B791-62CE-478C-B51E-8889D58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3737</Words>
  <Characters>20186</Characters>
  <Application>Microsoft Office Word</Application>
  <DocSecurity>0</DocSecurity>
  <Lines>168</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Paulo Alexandre Mira Mourão</cp:lastModifiedBy>
  <cp:revision>4</cp:revision>
  <cp:lastPrinted>2015-05-12T18:31:00Z</cp:lastPrinted>
  <dcterms:created xsi:type="dcterms:W3CDTF">2022-04-04T21:13:00Z</dcterms:created>
  <dcterms:modified xsi:type="dcterms:W3CDTF">2022-04-04T21:23:00Z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